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F9F11" w14:textId="77777777" w:rsidR="007400BA" w:rsidRDefault="0081666F" w:rsidP="00393E7A">
      <w:pPr>
        <w:jc w:val="center"/>
        <w:rPr>
          <w:highlight w:val="white"/>
        </w:rPr>
      </w:pPr>
      <w:r>
        <w:t>R</w:t>
      </w:r>
      <w:r>
        <w:rPr>
          <w:highlight w:val="white"/>
        </w:rPr>
        <w:t>īga Stradiņš University</w:t>
      </w:r>
    </w:p>
    <w:p w14:paraId="5C263E98" w14:textId="77777777" w:rsidR="007400BA" w:rsidRDefault="0081666F" w:rsidP="00393E7A">
      <w:pPr>
        <w:jc w:val="center"/>
        <w:rPr>
          <w:highlight w:val="white"/>
        </w:rPr>
      </w:pPr>
      <w:r>
        <w:rPr>
          <w:highlight w:val="white"/>
        </w:rPr>
        <w:t>Faculty of Medicine</w:t>
      </w:r>
    </w:p>
    <w:p w14:paraId="423C3658" w14:textId="77777777" w:rsidR="007400BA" w:rsidRDefault="0081666F" w:rsidP="00393E7A">
      <w:pPr>
        <w:jc w:val="center"/>
        <w:rPr>
          <w:highlight w:val="white"/>
        </w:rPr>
      </w:pPr>
      <w:r>
        <w:rPr>
          <w:highlight w:val="white"/>
        </w:rPr>
        <w:t>2</w:t>
      </w:r>
      <w:r>
        <w:rPr>
          <w:highlight w:val="white"/>
          <w:vertAlign w:val="superscript"/>
        </w:rPr>
        <w:t>nd</w:t>
      </w:r>
      <w:r>
        <w:rPr>
          <w:highlight w:val="white"/>
        </w:rPr>
        <w:t xml:space="preserve"> level professional study programme Medicine</w:t>
      </w:r>
    </w:p>
    <w:p w14:paraId="5BF536F2" w14:textId="28B01D43" w:rsidR="009F44DE" w:rsidRDefault="0081666F" w:rsidP="00C00222">
      <w:pPr>
        <w:spacing w:line="360" w:lineRule="auto"/>
        <w:ind w:firstLine="567"/>
        <w:jc w:val="center"/>
        <w:rPr>
          <w:highlight w:val="white"/>
        </w:rPr>
      </w:pPr>
      <w:r>
        <w:rPr>
          <w:highlight w:val="white"/>
        </w:rPr>
        <w:t xml:space="preserve"> </w:t>
      </w:r>
    </w:p>
    <w:p w14:paraId="6F25E177" w14:textId="77777777" w:rsidR="00C00222" w:rsidRDefault="00C00222" w:rsidP="00C00222">
      <w:pPr>
        <w:spacing w:line="360" w:lineRule="auto"/>
        <w:jc w:val="center"/>
        <w:rPr>
          <w:highlight w:val="white"/>
        </w:rPr>
      </w:pPr>
    </w:p>
    <w:p w14:paraId="05F5ABD5" w14:textId="647A14E4" w:rsidR="009F44DE" w:rsidRDefault="00E72CFC" w:rsidP="008C52A7">
      <w:pPr>
        <w:spacing w:line="360" w:lineRule="auto"/>
        <w:ind w:firstLine="567"/>
        <w:jc w:val="center"/>
        <w:rPr>
          <w:rStyle w:val="Emphasis"/>
          <w:b/>
          <w:bCs/>
          <w:i w:val="0"/>
          <w:iCs w:val="0"/>
          <w:color w:val="000000"/>
          <w:sz w:val="32"/>
          <w:szCs w:val="32"/>
        </w:rPr>
      </w:pPr>
      <w:r w:rsidRPr="00E72CFC">
        <w:rPr>
          <w:rStyle w:val="Emphasis"/>
          <w:b/>
          <w:bCs/>
          <w:i w:val="0"/>
          <w:iCs w:val="0"/>
          <w:color w:val="000000"/>
          <w:sz w:val="32"/>
          <w:szCs w:val="32"/>
        </w:rPr>
        <w:t>POSTOPERATIVE PERIOD AFTER GLAUCOMA SURGERY</w:t>
      </w:r>
    </w:p>
    <w:p w14:paraId="3B4FB3DC" w14:textId="00112033" w:rsidR="009F44DE" w:rsidRPr="00E72CFC" w:rsidRDefault="009F44DE" w:rsidP="008C52A7">
      <w:pPr>
        <w:spacing w:line="360" w:lineRule="auto"/>
        <w:jc w:val="center"/>
        <w:rPr>
          <w:b/>
          <w:bCs/>
          <w:i/>
          <w:iCs/>
          <w:sz w:val="32"/>
          <w:szCs w:val="32"/>
        </w:rPr>
      </w:pPr>
      <w:r>
        <w:rPr>
          <w:b/>
          <w:sz w:val="28"/>
          <w:szCs w:val="28"/>
        </w:rPr>
        <w:t>RESEARCH PAPER - LITERATURE REVIEW</w:t>
      </w:r>
    </w:p>
    <w:p w14:paraId="78577964" w14:textId="77777777" w:rsidR="00C00222" w:rsidRDefault="00C00222" w:rsidP="00C00222">
      <w:pPr>
        <w:spacing w:line="360" w:lineRule="auto"/>
        <w:ind w:firstLine="567"/>
        <w:jc w:val="center"/>
        <w:rPr>
          <w:highlight w:val="white"/>
        </w:rPr>
      </w:pPr>
    </w:p>
    <w:p w14:paraId="26F3D75B" w14:textId="77777777" w:rsidR="00C00222" w:rsidRDefault="00C00222" w:rsidP="00C00222">
      <w:pPr>
        <w:jc w:val="center"/>
        <w:rPr>
          <w:highlight w:val="white"/>
        </w:rPr>
      </w:pPr>
    </w:p>
    <w:p w14:paraId="739981F1" w14:textId="77777777" w:rsidR="00C00222" w:rsidRDefault="00C00222" w:rsidP="00C00222">
      <w:pPr>
        <w:jc w:val="center"/>
        <w:rPr>
          <w:highlight w:val="white"/>
        </w:rPr>
      </w:pPr>
    </w:p>
    <w:p w14:paraId="0343BA53" w14:textId="77777777" w:rsidR="00393E7A" w:rsidRDefault="00393E7A" w:rsidP="00393E7A">
      <w:pPr>
        <w:jc w:val="right"/>
        <w:rPr>
          <w:b/>
          <w:sz w:val="28"/>
          <w:szCs w:val="28"/>
        </w:rPr>
      </w:pPr>
    </w:p>
    <w:p w14:paraId="0F69C611" w14:textId="0067DBC5" w:rsidR="00691CFF" w:rsidRDefault="0081666F" w:rsidP="00C00222">
      <w:pPr>
        <w:spacing w:line="360" w:lineRule="auto"/>
        <w:jc w:val="right"/>
      </w:pPr>
      <w:r>
        <w:t xml:space="preserve">Author: </w:t>
      </w:r>
    </w:p>
    <w:p w14:paraId="3FD16944" w14:textId="1714AE27" w:rsidR="007400BA" w:rsidRPr="00691CFF" w:rsidRDefault="00E73F7D" w:rsidP="00C00222">
      <w:pPr>
        <w:spacing w:line="360" w:lineRule="auto"/>
        <w:jc w:val="right"/>
      </w:pPr>
      <w:r w:rsidRPr="00691CFF">
        <w:t>Kenny Kruber</w:t>
      </w:r>
    </w:p>
    <w:p w14:paraId="21E8FA13" w14:textId="774F96BA" w:rsidR="00816DA9" w:rsidRDefault="0081666F" w:rsidP="00C00222">
      <w:pPr>
        <w:spacing w:line="360" w:lineRule="auto"/>
        <w:jc w:val="right"/>
      </w:pPr>
      <w:r>
        <w:t>Student Card No</w:t>
      </w:r>
      <w:r w:rsidR="00E73F7D">
        <w:t>.</w:t>
      </w:r>
      <w:r w:rsidR="00281BD4">
        <w:t xml:space="preserve"> </w:t>
      </w:r>
      <w:r w:rsidR="0096737F">
        <w:t>20-045238</w:t>
      </w:r>
      <w:r w:rsidR="00281BD4">
        <w:t xml:space="preserve"> </w:t>
      </w:r>
      <w:r w:rsidR="00735D56">
        <w:t xml:space="preserve"> </w:t>
      </w:r>
    </w:p>
    <w:p w14:paraId="682F3C91" w14:textId="77777777" w:rsidR="00816DA9" w:rsidRDefault="00816DA9" w:rsidP="00C00222">
      <w:pPr>
        <w:spacing w:line="360" w:lineRule="auto"/>
        <w:jc w:val="right"/>
      </w:pPr>
    </w:p>
    <w:p w14:paraId="7D143C89" w14:textId="77777777" w:rsidR="007400BA" w:rsidRDefault="0081666F" w:rsidP="00C00222">
      <w:pPr>
        <w:spacing w:line="360" w:lineRule="auto"/>
        <w:jc w:val="right"/>
      </w:pPr>
      <w:r>
        <w:t>_______________</w:t>
      </w:r>
    </w:p>
    <w:p w14:paraId="0C635181" w14:textId="77777777" w:rsidR="007400BA" w:rsidRDefault="0081666F" w:rsidP="00C00222">
      <w:pPr>
        <w:spacing w:line="360" w:lineRule="auto"/>
        <w:jc w:val="right"/>
      </w:pPr>
      <w:r>
        <w:t>Signature</w:t>
      </w:r>
    </w:p>
    <w:p w14:paraId="593A6D65" w14:textId="77777777" w:rsidR="007400BA" w:rsidRDefault="0081666F" w:rsidP="00C00222">
      <w:pPr>
        <w:spacing w:line="360" w:lineRule="auto"/>
      </w:pPr>
      <w:r>
        <w:t xml:space="preserve"> </w:t>
      </w:r>
    </w:p>
    <w:p w14:paraId="2D1948CF" w14:textId="53769D6C" w:rsidR="007400BA" w:rsidRDefault="00DA40C6" w:rsidP="00C00222">
      <w:pPr>
        <w:spacing w:line="360" w:lineRule="auto"/>
        <w:ind w:firstLine="567"/>
        <w:jc w:val="right"/>
      </w:pPr>
      <w:r>
        <w:t>0</w:t>
      </w:r>
      <w:r w:rsidR="009F44DE">
        <w:t>4</w:t>
      </w:r>
      <w:r w:rsidR="00281BD4" w:rsidRPr="00281BD4">
        <w:t>.1</w:t>
      </w:r>
      <w:r>
        <w:t>1</w:t>
      </w:r>
      <w:r w:rsidR="00281BD4" w:rsidRPr="00281BD4">
        <w:t>.2025</w:t>
      </w:r>
    </w:p>
    <w:p w14:paraId="0DA7FB7A" w14:textId="77777777" w:rsidR="00816DA9" w:rsidRDefault="00816DA9" w:rsidP="00C00222">
      <w:pPr>
        <w:spacing w:line="360" w:lineRule="auto"/>
        <w:jc w:val="right"/>
      </w:pPr>
    </w:p>
    <w:p w14:paraId="074DCEAB" w14:textId="77777777" w:rsidR="00C00222" w:rsidRDefault="00C00222" w:rsidP="00C00222">
      <w:pPr>
        <w:spacing w:line="360" w:lineRule="auto"/>
        <w:jc w:val="right"/>
      </w:pPr>
    </w:p>
    <w:p w14:paraId="3E0AEE9D" w14:textId="77777777" w:rsidR="007400BA" w:rsidRDefault="0081666F" w:rsidP="00C00222">
      <w:pPr>
        <w:spacing w:line="360" w:lineRule="auto"/>
        <w:jc w:val="right"/>
      </w:pPr>
      <w:r>
        <w:t>Scientific supervisor:</w:t>
      </w:r>
    </w:p>
    <w:p w14:paraId="6BE9B735" w14:textId="29D321D4" w:rsidR="009573A6" w:rsidRDefault="009573A6" w:rsidP="00C00222">
      <w:pPr>
        <w:spacing w:line="360" w:lineRule="auto"/>
        <w:jc w:val="right"/>
        <w:rPr>
          <w:lang w:val="fr-LU"/>
        </w:rPr>
      </w:pPr>
      <w:r w:rsidRPr="009573A6">
        <w:rPr>
          <w:lang w:val="fr-LU"/>
        </w:rPr>
        <w:t>Dr.</w:t>
      </w:r>
      <w:r>
        <w:rPr>
          <w:lang w:val="fr-LU"/>
        </w:rPr>
        <w:t xml:space="preserve"> </w:t>
      </w:r>
      <w:proofErr w:type="spellStart"/>
      <w:r w:rsidRPr="009573A6">
        <w:rPr>
          <w:lang w:val="fr-LU"/>
        </w:rPr>
        <w:t>Līva</w:t>
      </w:r>
      <w:proofErr w:type="spellEnd"/>
      <w:r w:rsidRPr="009573A6">
        <w:rPr>
          <w:lang w:val="fr-LU"/>
        </w:rPr>
        <w:t xml:space="preserve"> </w:t>
      </w:r>
      <w:proofErr w:type="spellStart"/>
      <w:r w:rsidRPr="009573A6">
        <w:rPr>
          <w:lang w:val="fr-LU"/>
        </w:rPr>
        <w:t>Čaikovska</w:t>
      </w:r>
      <w:proofErr w:type="spellEnd"/>
    </w:p>
    <w:p w14:paraId="357A9D5F" w14:textId="470CE4BA" w:rsidR="007400BA" w:rsidRDefault="0081666F" w:rsidP="00C00222">
      <w:pPr>
        <w:spacing w:line="360" w:lineRule="auto"/>
        <w:jc w:val="right"/>
      </w:pPr>
      <w:r>
        <w:t xml:space="preserve">RSU Department of </w:t>
      </w:r>
      <w:r w:rsidR="009573A6">
        <w:t>Ophthalmology</w:t>
      </w:r>
    </w:p>
    <w:p w14:paraId="3F94FE68" w14:textId="435654EE" w:rsidR="00816DA9" w:rsidRDefault="0081666F" w:rsidP="00C00222">
      <w:pPr>
        <w:spacing w:line="360" w:lineRule="auto"/>
        <w:jc w:val="right"/>
      </w:pPr>
      <w:r>
        <w:t xml:space="preserve"> </w:t>
      </w:r>
    </w:p>
    <w:p w14:paraId="1C97D192" w14:textId="77777777" w:rsidR="007400BA" w:rsidRDefault="0081666F" w:rsidP="00C00222">
      <w:pPr>
        <w:spacing w:line="360" w:lineRule="auto"/>
        <w:jc w:val="right"/>
      </w:pPr>
      <w:r>
        <w:t>_______________</w:t>
      </w:r>
    </w:p>
    <w:p w14:paraId="074F9DC4" w14:textId="77777777" w:rsidR="007400BA" w:rsidRDefault="0081666F" w:rsidP="00C00222">
      <w:pPr>
        <w:spacing w:line="360" w:lineRule="auto"/>
        <w:jc w:val="right"/>
      </w:pPr>
      <w:r>
        <w:t>Signature</w:t>
      </w:r>
    </w:p>
    <w:p w14:paraId="146425DF" w14:textId="77777777" w:rsidR="007400BA" w:rsidRDefault="0081666F" w:rsidP="00C00222">
      <w:pPr>
        <w:spacing w:line="360" w:lineRule="auto"/>
        <w:jc w:val="right"/>
      </w:pPr>
      <w:r>
        <w:t xml:space="preserve"> </w:t>
      </w:r>
    </w:p>
    <w:p w14:paraId="054A1EA7" w14:textId="2600C04A" w:rsidR="00E72CFC" w:rsidRDefault="0081666F" w:rsidP="00C00222">
      <w:pPr>
        <w:spacing w:line="360" w:lineRule="auto"/>
        <w:jc w:val="right"/>
      </w:pPr>
      <w:r>
        <w:t>______________</w:t>
      </w:r>
    </w:p>
    <w:p w14:paraId="7B87F955" w14:textId="78DF7917" w:rsidR="00C00222" w:rsidRDefault="0081666F" w:rsidP="00C00222">
      <w:pPr>
        <w:spacing w:line="360" w:lineRule="auto"/>
        <w:jc w:val="right"/>
      </w:pPr>
      <w:r>
        <w:t>Dat</w:t>
      </w:r>
      <w:r w:rsidR="00C00222">
        <w:t>e</w:t>
      </w:r>
    </w:p>
    <w:p w14:paraId="6A464172" w14:textId="77777777" w:rsidR="00C00222" w:rsidRDefault="00C00222" w:rsidP="00393E7A">
      <w:pPr>
        <w:jc w:val="right"/>
      </w:pPr>
    </w:p>
    <w:p w14:paraId="393F559E" w14:textId="77777777" w:rsidR="00C00222" w:rsidRDefault="00C00222" w:rsidP="00393E7A">
      <w:pPr>
        <w:jc w:val="right"/>
      </w:pPr>
    </w:p>
    <w:p w14:paraId="7F78C504" w14:textId="77777777" w:rsidR="00C00222" w:rsidRDefault="00C00222" w:rsidP="00393E7A">
      <w:pPr>
        <w:jc w:val="right"/>
      </w:pPr>
    </w:p>
    <w:p w14:paraId="2B66FF81" w14:textId="77777777" w:rsidR="00C00222" w:rsidRDefault="00C00222" w:rsidP="00393E7A">
      <w:pPr>
        <w:jc w:val="right"/>
      </w:pPr>
    </w:p>
    <w:p w14:paraId="706B9072" w14:textId="77777777" w:rsidR="00C00222" w:rsidRDefault="00C00222" w:rsidP="00393E7A">
      <w:pPr>
        <w:jc w:val="right"/>
      </w:pPr>
    </w:p>
    <w:p w14:paraId="6844BFE8" w14:textId="6A855BA7" w:rsidR="00D72D8C" w:rsidRPr="00D72D8C" w:rsidRDefault="0081666F" w:rsidP="00C22F13">
      <w:pPr>
        <w:ind w:firstLine="567"/>
        <w:jc w:val="center"/>
      </w:pPr>
      <w:r>
        <w:t xml:space="preserve"> Riga, 202</w:t>
      </w:r>
      <w:bookmarkStart w:id="0" w:name="_94f4ktvqhonb"/>
      <w:bookmarkStart w:id="1" w:name="_Toc160121431"/>
      <w:bookmarkEnd w:id="0"/>
      <w:r w:rsidR="0096737F">
        <w:t>5</w:t>
      </w:r>
    </w:p>
    <w:p w14:paraId="602BC954" w14:textId="5207C7DB" w:rsidR="00735D56" w:rsidRDefault="00E72CFC" w:rsidP="00393E7A">
      <w:pPr>
        <w:pStyle w:val="Heading1"/>
        <w:numPr>
          <w:ilvl w:val="0"/>
          <w:numId w:val="0"/>
        </w:numPr>
        <w:ind w:right="0"/>
      </w:pPr>
      <w:bookmarkStart w:id="2" w:name="_Toc213182565"/>
      <w:r>
        <w:lastRenderedPageBreak/>
        <w:t>ABSTRACT</w:t>
      </w:r>
      <w:bookmarkEnd w:id="2"/>
    </w:p>
    <w:p w14:paraId="26BD698F" w14:textId="77777777" w:rsidR="00C22F13" w:rsidRDefault="00C41379" w:rsidP="003A0B82">
      <w:pPr>
        <w:spacing w:line="360" w:lineRule="auto"/>
        <w:jc w:val="both"/>
      </w:pPr>
      <w:r>
        <w:rPr>
          <w:rStyle w:val="Strong"/>
          <w:color w:val="000000"/>
        </w:rPr>
        <w:t>Background:</w:t>
      </w:r>
    </w:p>
    <w:p w14:paraId="52CDB38C" w14:textId="0594563F" w:rsidR="00145D0D" w:rsidRPr="00834529" w:rsidRDefault="00C41379" w:rsidP="003A0B82">
      <w:pPr>
        <w:spacing w:line="360" w:lineRule="auto"/>
        <w:jc w:val="both"/>
      </w:pPr>
      <w:r w:rsidRPr="00834529">
        <w:t xml:space="preserve">Primary open-angle glaucoma (POAG) </w:t>
      </w:r>
      <w:r w:rsidR="005958A7" w:rsidRPr="00834529">
        <w:t>has been</w:t>
      </w:r>
      <w:r w:rsidR="00145D0D" w:rsidRPr="00834529">
        <w:t xml:space="preserve"> described in the literature as</w:t>
      </w:r>
      <w:r w:rsidRPr="00834529">
        <w:t xml:space="preserve"> </w:t>
      </w:r>
      <w:r w:rsidR="00145D0D" w:rsidRPr="00834529">
        <w:t xml:space="preserve">a </w:t>
      </w:r>
      <w:r w:rsidRPr="00834529">
        <w:t>leading</w:t>
      </w:r>
      <w:r w:rsidR="00145D0D" w:rsidRPr="00834529">
        <w:t xml:space="preserve"> </w:t>
      </w:r>
      <w:r w:rsidRPr="00834529">
        <w:t>cause of irreversible blindness</w:t>
      </w:r>
      <w:r w:rsidR="005958A7" w:rsidRPr="00834529">
        <w:t xml:space="preserve"> worldwide</w:t>
      </w:r>
      <w:r w:rsidR="00275FDA" w:rsidRPr="00834529">
        <w:t>.</w:t>
      </w:r>
      <w:r w:rsidRPr="00834529">
        <w:t xml:space="preserve"> </w:t>
      </w:r>
      <w:r w:rsidR="00074621" w:rsidRPr="00834529">
        <w:t>The</w:t>
      </w:r>
      <w:r w:rsidR="005958A7" w:rsidRPr="00834529">
        <w:t xml:space="preserve"> </w:t>
      </w:r>
      <w:r w:rsidR="00145D0D" w:rsidRPr="00834529">
        <w:t xml:space="preserve">estimated increase in global </w:t>
      </w:r>
      <w:r w:rsidR="00074621" w:rsidRPr="00834529">
        <w:t xml:space="preserve">POAG prevalence </w:t>
      </w:r>
      <w:r w:rsidR="005958A7" w:rsidRPr="00834529">
        <w:t>highlights</w:t>
      </w:r>
      <w:r w:rsidR="00074621" w:rsidRPr="00834529">
        <w:t xml:space="preserve"> the need for efficient</w:t>
      </w:r>
      <w:r w:rsidR="005958A7" w:rsidRPr="00834529">
        <w:t xml:space="preserve"> and effective</w:t>
      </w:r>
      <w:r w:rsidR="00074621" w:rsidRPr="00834529">
        <w:t xml:space="preserve"> glaucoma </w:t>
      </w:r>
      <w:r w:rsidR="005958A7" w:rsidRPr="00834529">
        <w:t>management</w:t>
      </w:r>
      <w:r w:rsidR="00074621" w:rsidRPr="00834529">
        <w:t>. The American Academy of Ophthalmology (A</w:t>
      </w:r>
      <w:r w:rsidR="00145D0D" w:rsidRPr="00834529">
        <w:t>AO</w:t>
      </w:r>
      <w:r w:rsidR="00074621" w:rsidRPr="00834529">
        <w:t>)</w:t>
      </w:r>
      <w:r w:rsidR="00145D0D" w:rsidRPr="00834529">
        <w:t xml:space="preserve"> and </w:t>
      </w:r>
      <w:r w:rsidR="005958A7" w:rsidRPr="00834529">
        <w:t>the European Glaucoma Society (EGS) have endorsed laser trabeculoplasty as a first-line alternative to medications since 2020.</w:t>
      </w:r>
      <w:r w:rsidR="00074621" w:rsidRPr="00834529">
        <w:t xml:space="preserve"> This </w:t>
      </w:r>
      <w:r w:rsidR="005958A7" w:rsidRPr="00834529">
        <w:t>recommendation</w:t>
      </w:r>
      <w:r w:rsidR="00074621" w:rsidRPr="00834529">
        <w:t xml:space="preserve"> </w:t>
      </w:r>
      <w:r w:rsidR="005958A7" w:rsidRPr="00834529">
        <w:t>offers a surgical management to more</w:t>
      </w:r>
      <w:r w:rsidR="00074621" w:rsidRPr="00834529">
        <w:t xml:space="preserve"> patients</w:t>
      </w:r>
      <w:r w:rsidR="005958A7" w:rsidRPr="00834529">
        <w:t xml:space="preserve"> at an earlier stage. As a result</w:t>
      </w:r>
      <w:r w:rsidR="00074621" w:rsidRPr="00834529">
        <w:t>,</w:t>
      </w:r>
      <w:r w:rsidR="00145D0D" w:rsidRPr="00834529">
        <w:t xml:space="preserve"> </w:t>
      </w:r>
      <w:r w:rsidR="005958A7" w:rsidRPr="00834529">
        <w:t>greater</w:t>
      </w:r>
      <w:r w:rsidR="00145D0D" w:rsidRPr="00834529">
        <w:t xml:space="preserve"> </w:t>
      </w:r>
      <w:r w:rsidR="00074621" w:rsidRPr="00834529">
        <w:t>a</w:t>
      </w:r>
      <w:r w:rsidR="005958A7" w:rsidRPr="00834529">
        <w:t>ttention</w:t>
      </w:r>
      <w:r w:rsidR="00145D0D" w:rsidRPr="00834529">
        <w:t xml:space="preserve"> </w:t>
      </w:r>
      <w:r w:rsidR="00074621" w:rsidRPr="00834529">
        <w:t xml:space="preserve">should be </w:t>
      </w:r>
      <w:r w:rsidR="005958A7" w:rsidRPr="00834529">
        <w:t>paid to</w:t>
      </w:r>
      <w:r w:rsidR="00074621" w:rsidRPr="00834529">
        <w:t xml:space="preserve"> </w:t>
      </w:r>
      <w:r w:rsidR="00145D0D" w:rsidRPr="00834529">
        <w:t>the postoperative period</w:t>
      </w:r>
      <w:r w:rsidR="005958A7" w:rsidRPr="00834529">
        <w:t>,</w:t>
      </w:r>
      <w:r w:rsidR="00074621" w:rsidRPr="00834529">
        <w:t xml:space="preserve"> </w:t>
      </w:r>
      <w:r w:rsidR="005958A7" w:rsidRPr="00834529">
        <w:t xml:space="preserve">especially to </w:t>
      </w:r>
      <w:r w:rsidR="00074621" w:rsidRPr="00834529">
        <w:t>possible postoperative complications</w:t>
      </w:r>
      <w:r w:rsidR="00145D0D" w:rsidRPr="00834529">
        <w:t xml:space="preserve">. This </w:t>
      </w:r>
      <w:r w:rsidR="00074621" w:rsidRPr="00834529">
        <w:t xml:space="preserve">literature </w:t>
      </w:r>
      <w:r w:rsidR="00145D0D" w:rsidRPr="00834529">
        <w:t>review focuses on postoperative complication types, frequency</w:t>
      </w:r>
      <w:r w:rsidR="00074621" w:rsidRPr="00834529">
        <w:t>,</w:t>
      </w:r>
      <w:r w:rsidR="00145D0D" w:rsidRPr="00834529">
        <w:t xml:space="preserve"> and timing after various glaucoma surgery modalities. </w:t>
      </w:r>
      <w:r w:rsidR="0013242E" w:rsidRPr="00834529">
        <w:t>In order to</w:t>
      </w:r>
      <w:r w:rsidR="005663D3" w:rsidRPr="00834529">
        <w:t xml:space="preserve"> depict the variety of surgical glaucoma </w:t>
      </w:r>
      <w:r w:rsidR="005958A7" w:rsidRPr="00834529">
        <w:t>management</w:t>
      </w:r>
      <w:r w:rsidR="0013242E" w:rsidRPr="00834529">
        <w:t>,</w:t>
      </w:r>
      <w:r w:rsidR="005663D3" w:rsidRPr="00834529">
        <w:t xml:space="preserve"> </w:t>
      </w:r>
      <w:r w:rsidR="0013242E" w:rsidRPr="00834529">
        <w:t xml:space="preserve">the </w:t>
      </w:r>
      <w:r w:rsidR="005663D3" w:rsidRPr="00834529">
        <w:t>following surgical modalities will be represented in this review: laser trabeculoplasties, penetrating, non-penetrating, minimally invasive (MIGS), micro-invasive filtration (MIFS), and cyclodestructive procedures.</w:t>
      </w:r>
    </w:p>
    <w:p w14:paraId="0963D5C9" w14:textId="77777777" w:rsidR="000856EF" w:rsidRDefault="000856EF" w:rsidP="003A0B82">
      <w:pPr>
        <w:spacing w:line="360" w:lineRule="auto"/>
        <w:jc w:val="both"/>
      </w:pPr>
    </w:p>
    <w:p w14:paraId="6AD46880" w14:textId="77777777" w:rsidR="00074621" w:rsidRDefault="00C41379" w:rsidP="003A0B82">
      <w:pPr>
        <w:spacing w:line="360" w:lineRule="auto"/>
        <w:jc w:val="both"/>
        <w:rPr>
          <w:rStyle w:val="Strong"/>
          <w:color w:val="000000"/>
        </w:rPr>
      </w:pPr>
      <w:r>
        <w:rPr>
          <w:rStyle w:val="Strong"/>
          <w:color w:val="000000"/>
        </w:rPr>
        <w:t>Methods:</w:t>
      </w:r>
    </w:p>
    <w:p w14:paraId="2B43203F" w14:textId="266C22BB" w:rsidR="00074621" w:rsidRDefault="00074621" w:rsidP="003A0B82">
      <w:pPr>
        <w:spacing w:line="360" w:lineRule="auto"/>
        <w:jc w:val="both"/>
        <w:rPr>
          <w:rStyle w:val="Strong"/>
          <w:b w:val="0"/>
          <w:bCs w:val="0"/>
          <w:color w:val="000000"/>
        </w:rPr>
      </w:pPr>
      <w:r w:rsidRPr="00074621">
        <w:rPr>
          <w:rStyle w:val="Strong"/>
          <w:b w:val="0"/>
          <w:bCs w:val="0"/>
          <w:color w:val="000000"/>
        </w:rPr>
        <w:t>Th</w:t>
      </w:r>
      <w:r>
        <w:rPr>
          <w:rStyle w:val="Strong"/>
          <w:b w:val="0"/>
          <w:bCs w:val="0"/>
          <w:color w:val="000000"/>
        </w:rPr>
        <w:t xml:space="preserve">is </w:t>
      </w:r>
      <w:r w:rsidR="00840457">
        <w:rPr>
          <w:rStyle w:val="Strong"/>
          <w:b w:val="0"/>
          <w:bCs w:val="0"/>
          <w:color w:val="000000"/>
        </w:rPr>
        <w:t xml:space="preserve">literature </w:t>
      </w:r>
      <w:r w:rsidR="005663D3">
        <w:rPr>
          <w:rStyle w:val="Strong"/>
          <w:b w:val="0"/>
          <w:bCs w:val="0"/>
          <w:color w:val="000000"/>
        </w:rPr>
        <w:t>review</w:t>
      </w:r>
      <w:r>
        <w:rPr>
          <w:rStyle w:val="Strong"/>
          <w:b w:val="0"/>
          <w:bCs w:val="0"/>
          <w:color w:val="000000"/>
        </w:rPr>
        <w:t xml:space="preserve"> was conducted between May 2024 </w:t>
      </w:r>
      <w:r w:rsidR="00840457">
        <w:rPr>
          <w:rStyle w:val="Strong"/>
          <w:b w:val="0"/>
          <w:bCs w:val="0"/>
          <w:color w:val="000000"/>
        </w:rPr>
        <w:t>and</w:t>
      </w:r>
      <w:r>
        <w:rPr>
          <w:rStyle w:val="Strong"/>
          <w:b w:val="0"/>
          <w:bCs w:val="0"/>
          <w:color w:val="000000"/>
        </w:rPr>
        <w:t xml:space="preserve"> June 2025. Primarily</w:t>
      </w:r>
      <w:r w:rsidR="005663D3">
        <w:rPr>
          <w:rStyle w:val="Strong"/>
          <w:b w:val="0"/>
          <w:bCs w:val="0"/>
          <w:color w:val="000000"/>
        </w:rPr>
        <w:t>,</w:t>
      </w:r>
      <w:r>
        <w:rPr>
          <w:rStyle w:val="Strong"/>
          <w:b w:val="0"/>
          <w:bCs w:val="0"/>
          <w:color w:val="000000"/>
        </w:rPr>
        <w:t xml:space="preserve"> PubMed, </w:t>
      </w:r>
      <w:r>
        <w:t xml:space="preserve">Cochrane, and JAMA Network databases were used to identify </w:t>
      </w:r>
      <w:r w:rsidR="005663D3">
        <w:t>publications. To maintain an up-to-date representation of the progressive field, studies published mainly between 2015 and 2025 were included. In case of the absence of newer studies, older cornerstone studies were used instead. All included studies were analysed by complication type, incidence, timing (early, &lt;90 days vs. late, &gt;90 days), and the type of surgery performed.</w:t>
      </w:r>
    </w:p>
    <w:p w14:paraId="55F2E47C" w14:textId="77777777" w:rsidR="000856EF" w:rsidRDefault="000856EF" w:rsidP="003A0B82">
      <w:pPr>
        <w:spacing w:line="360" w:lineRule="auto"/>
        <w:jc w:val="both"/>
      </w:pPr>
    </w:p>
    <w:p w14:paraId="1C3F35A0" w14:textId="77777777" w:rsidR="005663D3" w:rsidRDefault="00C41379" w:rsidP="003A0B82">
      <w:pPr>
        <w:spacing w:line="360" w:lineRule="auto"/>
        <w:jc w:val="both"/>
        <w:rPr>
          <w:rStyle w:val="Strong"/>
          <w:color w:val="000000"/>
        </w:rPr>
      </w:pPr>
      <w:r>
        <w:rPr>
          <w:rStyle w:val="Strong"/>
          <w:color w:val="000000"/>
        </w:rPr>
        <w:t>Results:</w:t>
      </w:r>
    </w:p>
    <w:p w14:paraId="1EE464F2" w14:textId="07A9DD0C" w:rsidR="005663D3" w:rsidRDefault="005663D3" w:rsidP="003A0B82">
      <w:pPr>
        <w:spacing w:line="360" w:lineRule="auto"/>
        <w:jc w:val="both"/>
      </w:pPr>
      <w:r>
        <w:rPr>
          <w:rStyle w:val="Strong"/>
          <w:b w:val="0"/>
          <w:bCs w:val="0"/>
          <w:color w:val="000000"/>
        </w:rPr>
        <w:t>Postoperative complications</w:t>
      </w:r>
      <w:r w:rsidRPr="005663D3">
        <w:rPr>
          <w:rStyle w:val="Strong"/>
          <w:b w:val="0"/>
          <w:bCs w:val="0"/>
          <w:color w:val="000000"/>
        </w:rPr>
        <w:t xml:space="preserve"> </w:t>
      </w:r>
      <w:r w:rsidR="00E55FE1">
        <w:rPr>
          <w:rStyle w:val="Strong"/>
          <w:b w:val="0"/>
          <w:bCs w:val="0"/>
          <w:color w:val="000000"/>
        </w:rPr>
        <w:t>across</w:t>
      </w:r>
      <w:r>
        <w:t xml:space="preserve"> different surgical modalities were</w:t>
      </w:r>
      <w:r w:rsidR="005958A7">
        <w:t xml:space="preserve"> found to be</w:t>
      </w:r>
      <w:r>
        <w:t xml:space="preserve"> </w:t>
      </w:r>
      <w:r w:rsidR="00840457">
        <w:t>interestingly</w:t>
      </w:r>
      <w:r>
        <w:t xml:space="preserve"> linked to </w:t>
      </w:r>
      <w:r w:rsidR="00E55FE1">
        <w:t>common</w:t>
      </w:r>
      <w:r>
        <w:t xml:space="preserve"> pathophysiological mechanisms. </w:t>
      </w:r>
      <w:r w:rsidR="005958A7">
        <w:t>As all</w:t>
      </w:r>
      <w:r>
        <w:t xml:space="preserve"> </w:t>
      </w:r>
      <w:r w:rsidR="00E55FE1">
        <w:t xml:space="preserve">glaucoma </w:t>
      </w:r>
      <w:r>
        <w:t>surgeries</w:t>
      </w:r>
      <w:r w:rsidR="005958A7">
        <w:t xml:space="preserve"> share the common goal of lowering IOP and </w:t>
      </w:r>
      <w:r>
        <w:t>establishing long-term IOP control</w:t>
      </w:r>
      <w:r w:rsidR="005958A7">
        <w:t>, surgical approaches</w:t>
      </w:r>
      <w:r w:rsidR="0013242E">
        <w:t xml:space="preserve"> aim at</w:t>
      </w:r>
      <w:r w:rsidR="005958A7">
        <w:t xml:space="preserve"> alter</w:t>
      </w:r>
      <w:r w:rsidR="0013242E">
        <w:t>ing</w:t>
      </w:r>
      <w:r w:rsidR="005958A7">
        <w:t xml:space="preserve"> the production or outflow of aqueous humour</w:t>
      </w:r>
      <w:r w:rsidR="00E55FE1">
        <w:t xml:space="preserve">. </w:t>
      </w:r>
      <w:r w:rsidR="005958A7">
        <w:t xml:space="preserve">Therefore, similar complications can be observed after </w:t>
      </w:r>
      <w:r w:rsidR="000F000F">
        <w:t>unlike</w:t>
      </w:r>
      <w:r w:rsidR="005958A7">
        <w:t xml:space="preserve"> surgical modalities. Those shared postoperative complications </w:t>
      </w:r>
      <w:r w:rsidR="008C5405">
        <w:t>were</w:t>
      </w:r>
      <w:r w:rsidR="005958A7">
        <w:t xml:space="preserve"> hyphema, pressure spikes, hypotony, and its long-term sequelae. </w:t>
      </w:r>
      <w:r w:rsidR="00C227D2">
        <w:t>Incidence of complications depended primarily</w:t>
      </w:r>
      <w:r w:rsidR="00E55FE1">
        <w:t xml:space="preserve"> on the mechanism of alteration </w:t>
      </w:r>
      <w:r>
        <w:t>of aqueous dynamics (physiologic outflow vs</w:t>
      </w:r>
      <w:r w:rsidR="00E55FE1">
        <w:t>.</w:t>
      </w:r>
      <w:r>
        <w:t xml:space="preserve"> creating a bypass/shunt vs</w:t>
      </w:r>
      <w:r w:rsidR="00E55FE1">
        <w:t>.</w:t>
      </w:r>
      <w:r>
        <w:t xml:space="preserve"> inhibiting production)</w:t>
      </w:r>
      <w:r w:rsidR="00E55FE1">
        <w:t xml:space="preserve">, the </w:t>
      </w:r>
      <w:r w:rsidR="00C227D2">
        <w:t xml:space="preserve">manipulated </w:t>
      </w:r>
      <w:r>
        <w:t xml:space="preserve">anatomical location and function of </w:t>
      </w:r>
      <w:r w:rsidR="00E55FE1">
        <w:t xml:space="preserve">the </w:t>
      </w:r>
      <w:r>
        <w:t>targeted tissue (angle, subconjunctival space, ciliary body)</w:t>
      </w:r>
      <w:r w:rsidR="00E55FE1">
        <w:t xml:space="preserve">, and the </w:t>
      </w:r>
      <w:r>
        <w:t>extent of thermal/mechanical injury.</w:t>
      </w:r>
    </w:p>
    <w:p w14:paraId="0CA0117D" w14:textId="77777777" w:rsidR="000856EF" w:rsidRDefault="000856EF" w:rsidP="003A0B82">
      <w:pPr>
        <w:spacing w:line="360" w:lineRule="auto"/>
        <w:jc w:val="both"/>
      </w:pPr>
    </w:p>
    <w:p w14:paraId="33BB6FAA" w14:textId="77777777" w:rsidR="00840457" w:rsidRDefault="00C41379" w:rsidP="003A0B82">
      <w:pPr>
        <w:spacing w:line="360" w:lineRule="auto"/>
        <w:jc w:val="both"/>
        <w:rPr>
          <w:rStyle w:val="Strong"/>
          <w:color w:val="000000"/>
        </w:rPr>
      </w:pPr>
      <w:r>
        <w:rPr>
          <w:rStyle w:val="Strong"/>
          <w:color w:val="000000"/>
        </w:rPr>
        <w:t>Conclusions:</w:t>
      </w:r>
    </w:p>
    <w:p w14:paraId="3395CA66" w14:textId="639629E0" w:rsidR="00C41379" w:rsidRPr="00840457" w:rsidRDefault="00C227D2" w:rsidP="003A0B82">
      <w:pPr>
        <w:spacing w:line="360" w:lineRule="auto"/>
        <w:jc w:val="both"/>
        <w:rPr>
          <w:b/>
          <w:bCs/>
          <w:color w:val="000000"/>
        </w:rPr>
      </w:pPr>
      <w:r>
        <w:t xml:space="preserve">Postoperative complications were generally mild and self-limited in the early postoperative </w:t>
      </w:r>
      <w:r w:rsidR="0013242E">
        <w:t>period</w:t>
      </w:r>
      <w:r>
        <w:t xml:space="preserve">. Most of </w:t>
      </w:r>
      <w:r w:rsidR="0013242E">
        <w:t>the reported</w:t>
      </w:r>
      <w:r>
        <w:t xml:space="preserve"> complications could be explained by the surgical-induced inflammatory response and a filtration imbalance. Long-term complications were often linked to fibrotic changes, device malfunction and failure, or persistent overfiltration. Awareness of possible complications can improve postoperative monitoring and timely intervention.</w:t>
      </w:r>
      <w:r w:rsidR="00E55FE1">
        <w:t xml:space="preserve"> In general, </w:t>
      </w:r>
      <w:r w:rsidR="00C41379">
        <w:t xml:space="preserve">the </w:t>
      </w:r>
      <w:r>
        <w:t xml:space="preserve">chosen </w:t>
      </w:r>
      <w:r w:rsidR="00C41379">
        <w:t xml:space="preserve">surgical </w:t>
      </w:r>
      <w:r>
        <w:t xml:space="preserve">management </w:t>
      </w:r>
      <w:r w:rsidR="00C41379">
        <w:t xml:space="preserve">approach </w:t>
      </w:r>
      <w:r w:rsidR="00E55FE1">
        <w:t xml:space="preserve">should be matched to </w:t>
      </w:r>
      <w:r w:rsidR="00C41379">
        <w:t>the desired IOP reduction and patient profile</w:t>
      </w:r>
      <w:r w:rsidR="00E55FE1">
        <w:t xml:space="preserve"> to</w:t>
      </w:r>
      <w:r w:rsidR="00C41379">
        <w:t xml:space="preserve"> maximiz</w:t>
      </w:r>
      <w:r w:rsidR="00E55FE1">
        <w:t>e</w:t>
      </w:r>
      <w:r w:rsidR="00C41379">
        <w:t xml:space="preserve"> safety and efficacy. </w:t>
      </w:r>
    </w:p>
    <w:p w14:paraId="06ACB683" w14:textId="77777777" w:rsidR="00735D56" w:rsidRDefault="00735D56" w:rsidP="00735D56"/>
    <w:p w14:paraId="148AB41F" w14:textId="77777777" w:rsidR="00E72CFC" w:rsidRDefault="00E72CFC" w:rsidP="000856EF">
      <w:pPr>
        <w:rPr>
          <w:b/>
          <w:bCs/>
        </w:rPr>
      </w:pPr>
    </w:p>
    <w:p w14:paraId="08D07BC4" w14:textId="77777777" w:rsidR="00FD7712" w:rsidRDefault="00FD7712" w:rsidP="000856EF">
      <w:pPr>
        <w:rPr>
          <w:b/>
          <w:bCs/>
        </w:rPr>
      </w:pPr>
    </w:p>
    <w:p w14:paraId="14C500DE" w14:textId="77777777" w:rsidR="00FD7712" w:rsidRDefault="00FD7712" w:rsidP="000856EF">
      <w:pPr>
        <w:rPr>
          <w:b/>
          <w:bCs/>
        </w:rPr>
      </w:pPr>
    </w:p>
    <w:p w14:paraId="215181FC" w14:textId="77777777" w:rsidR="00FD7712" w:rsidRDefault="00FD7712" w:rsidP="000856EF">
      <w:pPr>
        <w:rPr>
          <w:b/>
          <w:bCs/>
        </w:rPr>
      </w:pPr>
    </w:p>
    <w:p w14:paraId="2582590D" w14:textId="77777777" w:rsidR="00FD7712" w:rsidRDefault="00FD7712" w:rsidP="000856EF">
      <w:pPr>
        <w:rPr>
          <w:b/>
          <w:bCs/>
        </w:rPr>
      </w:pPr>
    </w:p>
    <w:p w14:paraId="7CD9CE02" w14:textId="77777777" w:rsidR="00FD7712" w:rsidRDefault="00FD7712" w:rsidP="000856EF">
      <w:pPr>
        <w:rPr>
          <w:b/>
          <w:bCs/>
        </w:rPr>
      </w:pPr>
    </w:p>
    <w:p w14:paraId="15540644" w14:textId="77777777" w:rsidR="00FD7712" w:rsidRDefault="00FD7712" w:rsidP="000856EF">
      <w:pPr>
        <w:rPr>
          <w:b/>
          <w:bCs/>
        </w:rPr>
      </w:pPr>
    </w:p>
    <w:p w14:paraId="2E13A552" w14:textId="77777777" w:rsidR="00D72D8C" w:rsidRDefault="00D72D8C" w:rsidP="000856EF">
      <w:pPr>
        <w:rPr>
          <w:b/>
          <w:bCs/>
        </w:rPr>
      </w:pPr>
    </w:p>
    <w:p w14:paraId="7494FACD" w14:textId="77777777" w:rsidR="00D72D8C" w:rsidRDefault="00D72D8C" w:rsidP="000856EF">
      <w:pPr>
        <w:rPr>
          <w:b/>
          <w:bCs/>
        </w:rPr>
      </w:pPr>
    </w:p>
    <w:p w14:paraId="38DDFE99" w14:textId="77777777" w:rsidR="00D72D8C" w:rsidRDefault="00D72D8C" w:rsidP="000856EF">
      <w:pPr>
        <w:rPr>
          <w:b/>
          <w:bCs/>
        </w:rPr>
      </w:pPr>
    </w:p>
    <w:p w14:paraId="22007515" w14:textId="77777777" w:rsidR="00D72D8C" w:rsidRDefault="00D72D8C" w:rsidP="000856EF">
      <w:pPr>
        <w:rPr>
          <w:b/>
          <w:bCs/>
        </w:rPr>
      </w:pPr>
    </w:p>
    <w:p w14:paraId="0D72C482" w14:textId="77777777" w:rsidR="003A0B82" w:rsidRDefault="003A0B82" w:rsidP="000856EF">
      <w:pPr>
        <w:rPr>
          <w:b/>
          <w:bCs/>
        </w:rPr>
      </w:pPr>
    </w:p>
    <w:p w14:paraId="435C9AFA" w14:textId="77777777" w:rsidR="003A0B82" w:rsidRDefault="003A0B82" w:rsidP="000856EF">
      <w:pPr>
        <w:rPr>
          <w:b/>
          <w:bCs/>
        </w:rPr>
      </w:pPr>
    </w:p>
    <w:p w14:paraId="197538EF" w14:textId="77777777" w:rsidR="003A0B82" w:rsidRDefault="003A0B82" w:rsidP="000856EF">
      <w:pPr>
        <w:rPr>
          <w:b/>
          <w:bCs/>
        </w:rPr>
      </w:pPr>
    </w:p>
    <w:p w14:paraId="0168E85A" w14:textId="77777777" w:rsidR="003A0B82" w:rsidRDefault="003A0B82" w:rsidP="000856EF">
      <w:pPr>
        <w:rPr>
          <w:b/>
          <w:bCs/>
        </w:rPr>
      </w:pPr>
    </w:p>
    <w:p w14:paraId="7D51822C" w14:textId="77777777" w:rsidR="003A0B82" w:rsidRDefault="003A0B82" w:rsidP="000856EF">
      <w:pPr>
        <w:rPr>
          <w:b/>
          <w:bCs/>
        </w:rPr>
      </w:pPr>
    </w:p>
    <w:p w14:paraId="78C42071" w14:textId="77777777" w:rsidR="003A0B82" w:rsidRDefault="003A0B82" w:rsidP="000856EF">
      <w:pPr>
        <w:rPr>
          <w:b/>
          <w:bCs/>
        </w:rPr>
      </w:pPr>
    </w:p>
    <w:p w14:paraId="6197FE9B" w14:textId="77777777" w:rsidR="003A0B82" w:rsidRDefault="003A0B82" w:rsidP="000856EF">
      <w:pPr>
        <w:rPr>
          <w:b/>
          <w:bCs/>
        </w:rPr>
      </w:pPr>
    </w:p>
    <w:p w14:paraId="2DF63377" w14:textId="77777777" w:rsidR="003A0B82" w:rsidRDefault="003A0B82" w:rsidP="000856EF">
      <w:pPr>
        <w:rPr>
          <w:b/>
          <w:bCs/>
        </w:rPr>
      </w:pPr>
    </w:p>
    <w:p w14:paraId="68A013AB" w14:textId="77777777" w:rsidR="003A0B82" w:rsidRDefault="003A0B82" w:rsidP="000856EF">
      <w:pPr>
        <w:rPr>
          <w:b/>
          <w:bCs/>
        </w:rPr>
      </w:pPr>
    </w:p>
    <w:p w14:paraId="31A90E94" w14:textId="77777777" w:rsidR="003A0B82" w:rsidRDefault="003A0B82" w:rsidP="000856EF">
      <w:pPr>
        <w:rPr>
          <w:b/>
          <w:bCs/>
        </w:rPr>
      </w:pPr>
    </w:p>
    <w:p w14:paraId="691EF34C" w14:textId="77777777" w:rsidR="003A0B82" w:rsidRDefault="003A0B82" w:rsidP="000856EF">
      <w:pPr>
        <w:rPr>
          <w:b/>
          <w:bCs/>
        </w:rPr>
      </w:pPr>
    </w:p>
    <w:p w14:paraId="4D8877EB" w14:textId="77777777" w:rsidR="00D72D8C" w:rsidRDefault="00D72D8C" w:rsidP="000856EF">
      <w:pPr>
        <w:rPr>
          <w:b/>
          <w:bCs/>
        </w:rPr>
      </w:pPr>
    </w:p>
    <w:p w14:paraId="077BC921" w14:textId="77777777" w:rsidR="00D72D8C" w:rsidRDefault="00D72D8C" w:rsidP="000856EF">
      <w:pPr>
        <w:rPr>
          <w:b/>
          <w:bCs/>
        </w:rPr>
      </w:pPr>
    </w:p>
    <w:p w14:paraId="6C87A41C" w14:textId="77777777" w:rsidR="00D72D8C" w:rsidRDefault="00D72D8C" w:rsidP="000856EF">
      <w:pPr>
        <w:rPr>
          <w:b/>
          <w:bCs/>
        </w:rPr>
      </w:pPr>
    </w:p>
    <w:p w14:paraId="341CADA8" w14:textId="77777777" w:rsidR="00D72D8C" w:rsidRDefault="00D72D8C" w:rsidP="000856EF">
      <w:pPr>
        <w:rPr>
          <w:b/>
          <w:bCs/>
        </w:rPr>
      </w:pPr>
    </w:p>
    <w:p w14:paraId="25878C09" w14:textId="77777777" w:rsidR="00D72D8C" w:rsidRDefault="00D72D8C" w:rsidP="000856EF">
      <w:pPr>
        <w:rPr>
          <w:b/>
          <w:bCs/>
        </w:rPr>
      </w:pPr>
    </w:p>
    <w:p w14:paraId="71AC3B6B" w14:textId="77777777" w:rsidR="009948CA" w:rsidRDefault="009948CA" w:rsidP="000856EF">
      <w:pPr>
        <w:rPr>
          <w:b/>
          <w:bCs/>
        </w:rPr>
      </w:pPr>
    </w:p>
    <w:p w14:paraId="2EAA5A72" w14:textId="77777777" w:rsidR="009948CA" w:rsidRDefault="009948CA" w:rsidP="000856EF">
      <w:pPr>
        <w:rPr>
          <w:b/>
          <w:bCs/>
        </w:rPr>
      </w:pPr>
    </w:p>
    <w:p w14:paraId="7447106C" w14:textId="77777777" w:rsidR="009948CA" w:rsidRDefault="009948CA" w:rsidP="000856EF">
      <w:pPr>
        <w:rPr>
          <w:b/>
          <w:bCs/>
        </w:rPr>
      </w:pPr>
    </w:p>
    <w:p w14:paraId="79002374" w14:textId="77777777" w:rsidR="009948CA" w:rsidRDefault="009948CA" w:rsidP="000856EF">
      <w:pPr>
        <w:rPr>
          <w:b/>
          <w:bCs/>
        </w:rPr>
      </w:pPr>
    </w:p>
    <w:p w14:paraId="3209B4D6" w14:textId="77777777" w:rsidR="00D72D8C" w:rsidRDefault="00D72D8C" w:rsidP="000856EF">
      <w:pPr>
        <w:rPr>
          <w:b/>
          <w:bCs/>
        </w:rPr>
      </w:pPr>
    </w:p>
    <w:p w14:paraId="4EDF78FC" w14:textId="77777777" w:rsidR="00D72D8C" w:rsidRDefault="00D72D8C" w:rsidP="000856EF">
      <w:pPr>
        <w:rPr>
          <w:b/>
          <w:bCs/>
        </w:rPr>
      </w:pPr>
    </w:p>
    <w:bookmarkEnd w:id="1" w:displacedByCustomXml="next"/>
    <w:bookmarkStart w:id="3" w:name="_Toc160121433" w:displacedByCustomXml="next"/>
    <w:sdt>
      <w:sdtPr>
        <w:rPr>
          <w:rFonts w:ascii="Times New Roman" w:eastAsia="Times New Roman" w:hAnsi="Times New Roman" w:cs="Times New Roman"/>
          <w:b w:val="0"/>
          <w:bCs w:val="0"/>
          <w:color w:val="auto"/>
          <w:sz w:val="24"/>
          <w:szCs w:val="24"/>
          <w:lang w:val="en-GB" w:eastAsia="en-GB"/>
        </w:rPr>
        <w:id w:val="1101612546"/>
        <w:docPartObj>
          <w:docPartGallery w:val="Table of Contents"/>
          <w:docPartUnique/>
        </w:docPartObj>
      </w:sdtPr>
      <w:sdtEndPr>
        <w:rPr>
          <w:noProof/>
          <w:lang w:val="en-DE"/>
        </w:rPr>
      </w:sdtEndPr>
      <w:sdtContent>
        <w:p w14:paraId="44CE0D35" w14:textId="1429C0C4" w:rsidR="005A43FF" w:rsidRPr="0041772C" w:rsidRDefault="005A43FF" w:rsidP="00534EDB">
          <w:pPr>
            <w:pStyle w:val="TOCHeading"/>
            <w:numPr>
              <w:ilvl w:val="0"/>
              <w:numId w:val="0"/>
            </w:numPr>
            <w:spacing w:line="240" w:lineRule="auto"/>
            <w:ind w:firstLine="720"/>
            <w:jc w:val="center"/>
            <w:rPr>
              <w:rFonts w:ascii="Times New Roman" w:hAnsi="Times New Roman" w:cs="Times New Roman"/>
              <w:color w:val="000000" w:themeColor="text1"/>
            </w:rPr>
          </w:pPr>
          <w:r w:rsidRPr="0041772C">
            <w:rPr>
              <w:rFonts w:ascii="Times New Roman" w:hAnsi="Times New Roman" w:cs="Times New Roman"/>
              <w:color w:val="000000" w:themeColor="text1"/>
            </w:rPr>
            <w:t>Table of Contents</w:t>
          </w:r>
        </w:p>
        <w:p w14:paraId="2F1752FE" w14:textId="29A3A49D" w:rsidR="008F144E" w:rsidRDefault="00F82B2B">
          <w:pPr>
            <w:pStyle w:val="TOC1"/>
            <w:tabs>
              <w:tab w:val="right" w:leader="dot" w:pos="9064"/>
            </w:tabs>
            <w:rPr>
              <w:rFonts w:eastAsiaTheme="minorEastAsia" w:cstheme="minorBidi"/>
              <w:b w:val="0"/>
              <w:bCs w:val="0"/>
              <w:noProof/>
              <w:kern w:val="2"/>
              <w:sz w:val="24"/>
              <w:szCs w:val="24"/>
              <w14:ligatures w14:val="standardContextual"/>
            </w:rPr>
          </w:pPr>
          <w:r w:rsidRPr="0041772C">
            <w:rPr>
              <w:rFonts w:ascii="Times New Roman" w:hAnsi="Times New Roman"/>
              <w:b w:val="0"/>
              <w:bCs w:val="0"/>
              <w:i/>
              <w:iCs/>
              <w:caps/>
              <w:color w:val="000000" w:themeColor="text1"/>
              <w:sz w:val="22"/>
              <w:szCs w:val="22"/>
            </w:rPr>
            <w:fldChar w:fldCharType="begin"/>
          </w:r>
          <w:r w:rsidRPr="0041772C">
            <w:rPr>
              <w:rFonts w:ascii="Times New Roman" w:hAnsi="Times New Roman"/>
              <w:b w:val="0"/>
              <w:bCs w:val="0"/>
              <w:color w:val="000000" w:themeColor="text1"/>
              <w:sz w:val="22"/>
              <w:szCs w:val="22"/>
            </w:rPr>
            <w:instrText xml:space="preserve"> TOC \o "1-3" \h \z \u </w:instrText>
          </w:r>
          <w:r w:rsidRPr="0041772C">
            <w:rPr>
              <w:rFonts w:ascii="Times New Roman" w:hAnsi="Times New Roman"/>
              <w:b w:val="0"/>
              <w:bCs w:val="0"/>
              <w:i/>
              <w:iCs/>
              <w:caps/>
              <w:color w:val="000000" w:themeColor="text1"/>
              <w:sz w:val="22"/>
              <w:szCs w:val="22"/>
            </w:rPr>
            <w:fldChar w:fldCharType="separate"/>
          </w:r>
          <w:hyperlink w:anchor="_Toc213182565" w:history="1">
            <w:r w:rsidR="008F144E" w:rsidRPr="008C4ADD">
              <w:rPr>
                <w:rStyle w:val="Hyperlink"/>
                <w:noProof/>
              </w:rPr>
              <w:t>ABSTRACT</w:t>
            </w:r>
            <w:r w:rsidR="008F144E">
              <w:rPr>
                <w:noProof/>
                <w:webHidden/>
              </w:rPr>
              <w:tab/>
            </w:r>
            <w:r w:rsidR="008F144E">
              <w:rPr>
                <w:noProof/>
                <w:webHidden/>
              </w:rPr>
              <w:fldChar w:fldCharType="begin"/>
            </w:r>
            <w:r w:rsidR="008F144E">
              <w:rPr>
                <w:noProof/>
                <w:webHidden/>
              </w:rPr>
              <w:instrText xml:space="preserve"> PAGEREF _Toc213182565 \h </w:instrText>
            </w:r>
            <w:r w:rsidR="008F144E">
              <w:rPr>
                <w:noProof/>
                <w:webHidden/>
              </w:rPr>
            </w:r>
            <w:r w:rsidR="008F144E">
              <w:rPr>
                <w:noProof/>
                <w:webHidden/>
              </w:rPr>
              <w:fldChar w:fldCharType="separate"/>
            </w:r>
            <w:r w:rsidR="008F144E">
              <w:rPr>
                <w:noProof/>
                <w:webHidden/>
              </w:rPr>
              <w:t>2</w:t>
            </w:r>
            <w:r w:rsidR="008F144E">
              <w:rPr>
                <w:noProof/>
                <w:webHidden/>
              </w:rPr>
              <w:fldChar w:fldCharType="end"/>
            </w:r>
          </w:hyperlink>
        </w:p>
        <w:p w14:paraId="2CD79F49" w14:textId="3A0734A0" w:rsidR="008F144E" w:rsidRDefault="008F144E">
          <w:pPr>
            <w:pStyle w:val="TOC1"/>
            <w:tabs>
              <w:tab w:val="left" w:pos="480"/>
              <w:tab w:val="right" w:leader="dot" w:pos="9064"/>
            </w:tabs>
            <w:rPr>
              <w:rFonts w:eastAsiaTheme="minorEastAsia" w:cstheme="minorBidi"/>
              <w:b w:val="0"/>
              <w:bCs w:val="0"/>
              <w:noProof/>
              <w:kern w:val="2"/>
              <w:sz w:val="24"/>
              <w:szCs w:val="24"/>
              <w14:ligatures w14:val="standardContextual"/>
            </w:rPr>
          </w:pPr>
          <w:hyperlink w:anchor="_Toc213182566" w:history="1">
            <w:r w:rsidRPr="008C4ADD">
              <w:rPr>
                <w:rStyle w:val="Hyperlink"/>
                <w:noProof/>
              </w:rPr>
              <w:t>1</w:t>
            </w:r>
            <w:r>
              <w:rPr>
                <w:rFonts w:eastAsiaTheme="minorEastAsia" w:cstheme="minorBidi"/>
                <w:b w:val="0"/>
                <w:bCs w:val="0"/>
                <w:noProof/>
                <w:kern w:val="2"/>
                <w:sz w:val="24"/>
                <w:szCs w:val="24"/>
                <w14:ligatures w14:val="standardContextual"/>
              </w:rPr>
              <w:tab/>
            </w:r>
            <w:r w:rsidRPr="008C4ADD">
              <w:rPr>
                <w:rStyle w:val="Hyperlink"/>
                <w:noProof/>
              </w:rPr>
              <w:t>INTRODUCTION</w:t>
            </w:r>
            <w:r>
              <w:rPr>
                <w:noProof/>
                <w:webHidden/>
              </w:rPr>
              <w:tab/>
            </w:r>
            <w:r>
              <w:rPr>
                <w:noProof/>
                <w:webHidden/>
              </w:rPr>
              <w:fldChar w:fldCharType="begin"/>
            </w:r>
            <w:r>
              <w:rPr>
                <w:noProof/>
                <w:webHidden/>
              </w:rPr>
              <w:instrText xml:space="preserve"> PAGEREF _Toc213182566 \h </w:instrText>
            </w:r>
            <w:r>
              <w:rPr>
                <w:noProof/>
                <w:webHidden/>
              </w:rPr>
            </w:r>
            <w:r>
              <w:rPr>
                <w:noProof/>
                <w:webHidden/>
              </w:rPr>
              <w:fldChar w:fldCharType="separate"/>
            </w:r>
            <w:r>
              <w:rPr>
                <w:noProof/>
                <w:webHidden/>
              </w:rPr>
              <w:t>7</w:t>
            </w:r>
            <w:r>
              <w:rPr>
                <w:noProof/>
                <w:webHidden/>
              </w:rPr>
              <w:fldChar w:fldCharType="end"/>
            </w:r>
          </w:hyperlink>
        </w:p>
        <w:p w14:paraId="67067228" w14:textId="1D7A1EB0" w:rsidR="008F144E" w:rsidRDefault="008F144E">
          <w:pPr>
            <w:pStyle w:val="TOC1"/>
            <w:tabs>
              <w:tab w:val="left" w:pos="480"/>
              <w:tab w:val="right" w:leader="dot" w:pos="9064"/>
            </w:tabs>
            <w:rPr>
              <w:rFonts w:eastAsiaTheme="minorEastAsia" w:cstheme="minorBidi"/>
              <w:b w:val="0"/>
              <w:bCs w:val="0"/>
              <w:noProof/>
              <w:kern w:val="2"/>
              <w:sz w:val="24"/>
              <w:szCs w:val="24"/>
              <w14:ligatures w14:val="standardContextual"/>
            </w:rPr>
          </w:pPr>
          <w:hyperlink w:anchor="_Toc213182567" w:history="1">
            <w:r w:rsidRPr="008C4ADD">
              <w:rPr>
                <w:rStyle w:val="Hyperlink"/>
                <w:noProof/>
              </w:rPr>
              <w:t>2</w:t>
            </w:r>
            <w:r>
              <w:rPr>
                <w:rFonts w:eastAsiaTheme="minorEastAsia" w:cstheme="minorBidi"/>
                <w:b w:val="0"/>
                <w:bCs w:val="0"/>
                <w:noProof/>
                <w:kern w:val="2"/>
                <w:sz w:val="24"/>
                <w:szCs w:val="24"/>
                <w14:ligatures w14:val="standardContextual"/>
              </w:rPr>
              <w:tab/>
            </w:r>
            <w:r w:rsidRPr="008C4ADD">
              <w:rPr>
                <w:rStyle w:val="Hyperlink"/>
                <w:noProof/>
              </w:rPr>
              <w:t>Methodology</w:t>
            </w:r>
            <w:r>
              <w:rPr>
                <w:noProof/>
                <w:webHidden/>
              </w:rPr>
              <w:tab/>
            </w:r>
            <w:r>
              <w:rPr>
                <w:noProof/>
                <w:webHidden/>
              </w:rPr>
              <w:fldChar w:fldCharType="begin"/>
            </w:r>
            <w:r>
              <w:rPr>
                <w:noProof/>
                <w:webHidden/>
              </w:rPr>
              <w:instrText xml:space="preserve"> PAGEREF _Toc213182567 \h </w:instrText>
            </w:r>
            <w:r>
              <w:rPr>
                <w:noProof/>
                <w:webHidden/>
              </w:rPr>
            </w:r>
            <w:r>
              <w:rPr>
                <w:noProof/>
                <w:webHidden/>
              </w:rPr>
              <w:fldChar w:fldCharType="separate"/>
            </w:r>
            <w:r>
              <w:rPr>
                <w:noProof/>
                <w:webHidden/>
              </w:rPr>
              <w:t>8</w:t>
            </w:r>
            <w:r>
              <w:rPr>
                <w:noProof/>
                <w:webHidden/>
              </w:rPr>
              <w:fldChar w:fldCharType="end"/>
            </w:r>
          </w:hyperlink>
        </w:p>
        <w:p w14:paraId="7D566309" w14:textId="75B7B733"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68" w:history="1">
            <w:r w:rsidRPr="008C4ADD">
              <w:rPr>
                <w:rStyle w:val="Hyperlink"/>
                <w:noProof/>
              </w:rPr>
              <w:t>2.1</w:t>
            </w:r>
            <w:r>
              <w:rPr>
                <w:rFonts w:eastAsiaTheme="minorEastAsia" w:cstheme="minorBidi"/>
                <w:i w:val="0"/>
                <w:iCs w:val="0"/>
                <w:noProof/>
                <w:kern w:val="2"/>
                <w:sz w:val="24"/>
                <w:szCs w:val="24"/>
                <w14:ligatures w14:val="standardContextual"/>
              </w:rPr>
              <w:tab/>
            </w:r>
            <w:r w:rsidRPr="008C4ADD">
              <w:rPr>
                <w:rStyle w:val="Hyperlink"/>
                <w:noProof/>
              </w:rPr>
              <w:t>Research Aim</w:t>
            </w:r>
            <w:r>
              <w:rPr>
                <w:noProof/>
                <w:webHidden/>
              </w:rPr>
              <w:tab/>
            </w:r>
            <w:r>
              <w:rPr>
                <w:noProof/>
                <w:webHidden/>
              </w:rPr>
              <w:fldChar w:fldCharType="begin"/>
            </w:r>
            <w:r>
              <w:rPr>
                <w:noProof/>
                <w:webHidden/>
              </w:rPr>
              <w:instrText xml:space="preserve"> PAGEREF _Toc213182568 \h </w:instrText>
            </w:r>
            <w:r>
              <w:rPr>
                <w:noProof/>
                <w:webHidden/>
              </w:rPr>
            </w:r>
            <w:r>
              <w:rPr>
                <w:noProof/>
                <w:webHidden/>
              </w:rPr>
              <w:fldChar w:fldCharType="separate"/>
            </w:r>
            <w:r>
              <w:rPr>
                <w:noProof/>
                <w:webHidden/>
              </w:rPr>
              <w:t>8</w:t>
            </w:r>
            <w:r>
              <w:rPr>
                <w:noProof/>
                <w:webHidden/>
              </w:rPr>
              <w:fldChar w:fldCharType="end"/>
            </w:r>
          </w:hyperlink>
        </w:p>
        <w:p w14:paraId="76224FCB" w14:textId="1AB056CE"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69" w:history="1">
            <w:r w:rsidRPr="008C4ADD">
              <w:rPr>
                <w:rStyle w:val="Hyperlink"/>
                <w:noProof/>
              </w:rPr>
              <w:t>2.2</w:t>
            </w:r>
            <w:r>
              <w:rPr>
                <w:rFonts w:eastAsiaTheme="minorEastAsia" w:cstheme="minorBidi"/>
                <w:i w:val="0"/>
                <w:iCs w:val="0"/>
                <w:noProof/>
                <w:kern w:val="2"/>
                <w:sz w:val="24"/>
                <w:szCs w:val="24"/>
                <w14:ligatures w14:val="standardContextual"/>
              </w:rPr>
              <w:tab/>
            </w:r>
            <w:r w:rsidRPr="008C4ADD">
              <w:rPr>
                <w:rStyle w:val="Hyperlink"/>
                <w:noProof/>
              </w:rPr>
              <w:t>Search Strategy</w:t>
            </w:r>
            <w:r>
              <w:rPr>
                <w:noProof/>
                <w:webHidden/>
              </w:rPr>
              <w:tab/>
            </w:r>
            <w:r>
              <w:rPr>
                <w:noProof/>
                <w:webHidden/>
              </w:rPr>
              <w:fldChar w:fldCharType="begin"/>
            </w:r>
            <w:r>
              <w:rPr>
                <w:noProof/>
                <w:webHidden/>
              </w:rPr>
              <w:instrText xml:space="preserve"> PAGEREF _Toc213182569 \h </w:instrText>
            </w:r>
            <w:r>
              <w:rPr>
                <w:noProof/>
                <w:webHidden/>
              </w:rPr>
            </w:r>
            <w:r>
              <w:rPr>
                <w:noProof/>
                <w:webHidden/>
              </w:rPr>
              <w:fldChar w:fldCharType="separate"/>
            </w:r>
            <w:r>
              <w:rPr>
                <w:noProof/>
                <w:webHidden/>
              </w:rPr>
              <w:t>8</w:t>
            </w:r>
            <w:r>
              <w:rPr>
                <w:noProof/>
                <w:webHidden/>
              </w:rPr>
              <w:fldChar w:fldCharType="end"/>
            </w:r>
          </w:hyperlink>
        </w:p>
        <w:p w14:paraId="1D5C24F2" w14:textId="3F3CC23A"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70" w:history="1">
            <w:r w:rsidRPr="008C4ADD">
              <w:rPr>
                <w:rStyle w:val="Hyperlink"/>
                <w:noProof/>
              </w:rPr>
              <w:t>2.3</w:t>
            </w:r>
            <w:r>
              <w:rPr>
                <w:rFonts w:eastAsiaTheme="minorEastAsia" w:cstheme="minorBidi"/>
                <w:i w:val="0"/>
                <w:iCs w:val="0"/>
                <w:noProof/>
                <w:kern w:val="2"/>
                <w:sz w:val="24"/>
                <w:szCs w:val="24"/>
                <w14:ligatures w14:val="standardContextual"/>
              </w:rPr>
              <w:tab/>
            </w:r>
            <w:r w:rsidRPr="008C4ADD">
              <w:rPr>
                <w:rStyle w:val="Hyperlink"/>
                <w:noProof/>
              </w:rPr>
              <w:t>Inclusion and Exclusion Criteria</w:t>
            </w:r>
            <w:r>
              <w:rPr>
                <w:noProof/>
                <w:webHidden/>
              </w:rPr>
              <w:tab/>
            </w:r>
            <w:r>
              <w:rPr>
                <w:noProof/>
                <w:webHidden/>
              </w:rPr>
              <w:fldChar w:fldCharType="begin"/>
            </w:r>
            <w:r>
              <w:rPr>
                <w:noProof/>
                <w:webHidden/>
              </w:rPr>
              <w:instrText xml:space="preserve"> PAGEREF _Toc213182570 \h </w:instrText>
            </w:r>
            <w:r>
              <w:rPr>
                <w:noProof/>
                <w:webHidden/>
              </w:rPr>
            </w:r>
            <w:r>
              <w:rPr>
                <w:noProof/>
                <w:webHidden/>
              </w:rPr>
              <w:fldChar w:fldCharType="separate"/>
            </w:r>
            <w:r>
              <w:rPr>
                <w:noProof/>
                <w:webHidden/>
              </w:rPr>
              <w:t>8</w:t>
            </w:r>
            <w:r>
              <w:rPr>
                <w:noProof/>
                <w:webHidden/>
              </w:rPr>
              <w:fldChar w:fldCharType="end"/>
            </w:r>
          </w:hyperlink>
        </w:p>
        <w:p w14:paraId="730217AD" w14:textId="63CC378F"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71" w:history="1">
            <w:r w:rsidRPr="008C4ADD">
              <w:rPr>
                <w:rStyle w:val="Hyperlink"/>
                <w:noProof/>
              </w:rPr>
              <w:t>2.4</w:t>
            </w:r>
            <w:r>
              <w:rPr>
                <w:rFonts w:eastAsiaTheme="minorEastAsia" w:cstheme="minorBidi"/>
                <w:i w:val="0"/>
                <w:iCs w:val="0"/>
                <w:noProof/>
                <w:kern w:val="2"/>
                <w:sz w:val="24"/>
                <w:szCs w:val="24"/>
                <w14:ligatures w14:val="standardContextual"/>
              </w:rPr>
              <w:tab/>
            </w:r>
            <w:r w:rsidRPr="008C4ADD">
              <w:rPr>
                <w:rStyle w:val="Hyperlink"/>
                <w:noProof/>
              </w:rPr>
              <w:t>Study Selection and Data Extraction</w:t>
            </w:r>
            <w:r>
              <w:rPr>
                <w:noProof/>
                <w:webHidden/>
              </w:rPr>
              <w:tab/>
            </w:r>
            <w:r>
              <w:rPr>
                <w:noProof/>
                <w:webHidden/>
              </w:rPr>
              <w:fldChar w:fldCharType="begin"/>
            </w:r>
            <w:r>
              <w:rPr>
                <w:noProof/>
                <w:webHidden/>
              </w:rPr>
              <w:instrText xml:space="preserve"> PAGEREF _Toc213182571 \h </w:instrText>
            </w:r>
            <w:r>
              <w:rPr>
                <w:noProof/>
                <w:webHidden/>
              </w:rPr>
            </w:r>
            <w:r>
              <w:rPr>
                <w:noProof/>
                <w:webHidden/>
              </w:rPr>
              <w:fldChar w:fldCharType="separate"/>
            </w:r>
            <w:r>
              <w:rPr>
                <w:noProof/>
                <w:webHidden/>
              </w:rPr>
              <w:t>9</w:t>
            </w:r>
            <w:r>
              <w:rPr>
                <w:noProof/>
                <w:webHidden/>
              </w:rPr>
              <w:fldChar w:fldCharType="end"/>
            </w:r>
          </w:hyperlink>
        </w:p>
        <w:p w14:paraId="325337CB" w14:textId="3620D0CC"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72" w:history="1">
            <w:r w:rsidRPr="008C4ADD">
              <w:rPr>
                <w:rStyle w:val="Hyperlink"/>
                <w:noProof/>
              </w:rPr>
              <w:t>2.5</w:t>
            </w:r>
            <w:r>
              <w:rPr>
                <w:rFonts w:eastAsiaTheme="minorEastAsia" w:cstheme="minorBidi"/>
                <w:i w:val="0"/>
                <w:iCs w:val="0"/>
                <w:noProof/>
                <w:kern w:val="2"/>
                <w:sz w:val="24"/>
                <w:szCs w:val="24"/>
                <w14:ligatures w14:val="standardContextual"/>
              </w:rPr>
              <w:tab/>
            </w:r>
            <w:r w:rsidRPr="008C4ADD">
              <w:rPr>
                <w:rStyle w:val="Hyperlink"/>
                <w:noProof/>
              </w:rPr>
              <w:t>Classification and Synthesis of Complications</w:t>
            </w:r>
            <w:r>
              <w:rPr>
                <w:noProof/>
                <w:webHidden/>
              </w:rPr>
              <w:tab/>
            </w:r>
            <w:r>
              <w:rPr>
                <w:noProof/>
                <w:webHidden/>
              </w:rPr>
              <w:fldChar w:fldCharType="begin"/>
            </w:r>
            <w:r>
              <w:rPr>
                <w:noProof/>
                <w:webHidden/>
              </w:rPr>
              <w:instrText xml:space="preserve"> PAGEREF _Toc213182572 \h </w:instrText>
            </w:r>
            <w:r>
              <w:rPr>
                <w:noProof/>
                <w:webHidden/>
              </w:rPr>
            </w:r>
            <w:r>
              <w:rPr>
                <w:noProof/>
                <w:webHidden/>
              </w:rPr>
              <w:fldChar w:fldCharType="separate"/>
            </w:r>
            <w:r>
              <w:rPr>
                <w:noProof/>
                <w:webHidden/>
              </w:rPr>
              <w:t>9</w:t>
            </w:r>
            <w:r>
              <w:rPr>
                <w:noProof/>
                <w:webHidden/>
              </w:rPr>
              <w:fldChar w:fldCharType="end"/>
            </w:r>
          </w:hyperlink>
        </w:p>
        <w:p w14:paraId="3D90289C" w14:textId="53DEF9F3"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73" w:history="1">
            <w:r w:rsidRPr="008C4ADD">
              <w:rPr>
                <w:rStyle w:val="Hyperlink"/>
                <w:noProof/>
              </w:rPr>
              <w:t>2.6</w:t>
            </w:r>
            <w:r>
              <w:rPr>
                <w:rFonts w:eastAsiaTheme="minorEastAsia" w:cstheme="minorBidi"/>
                <w:i w:val="0"/>
                <w:iCs w:val="0"/>
                <w:noProof/>
                <w:kern w:val="2"/>
                <w:sz w:val="24"/>
                <w:szCs w:val="24"/>
                <w14:ligatures w14:val="standardContextual"/>
              </w:rPr>
              <w:tab/>
            </w:r>
            <w:r w:rsidRPr="008C4ADD">
              <w:rPr>
                <w:rStyle w:val="Hyperlink"/>
                <w:noProof/>
              </w:rPr>
              <w:t>Limitations of the Methodology</w:t>
            </w:r>
            <w:r>
              <w:rPr>
                <w:noProof/>
                <w:webHidden/>
              </w:rPr>
              <w:tab/>
            </w:r>
            <w:r>
              <w:rPr>
                <w:noProof/>
                <w:webHidden/>
              </w:rPr>
              <w:fldChar w:fldCharType="begin"/>
            </w:r>
            <w:r>
              <w:rPr>
                <w:noProof/>
                <w:webHidden/>
              </w:rPr>
              <w:instrText xml:space="preserve"> PAGEREF _Toc213182573 \h </w:instrText>
            </w:r>
            <w:r>
              <w:rPr>
                <w:noProof/>
                <w:webHidden/>
              </w:rPr>
            </w:r>
            <w:r>
              <w:rPr>
                <w:noProof/>
                <w:webHidden/>
              </w:rPr>
              <w:fldChar w:fldCharType="separate"/>
            </w:r>
            <w:r>
              <w:rPr>
                <w:noProof/>
                <w:webHidden/>
              </w:rPr>
              <w:t>10</w:t>
            </w:r>
            <w:r>
              <w:rPr>
                <w:noProof/>
                <w:webHidden/>
              </w:rPr>
              <w:fldChar w:fldCharType="end"/>
            </w:r>
          </w:hyperlink>
        </w:p>
        <w:p w14:paraId="5E72B58C" w14:textId="0D8AA7D4"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74" w:history="1">
            <w:r w:rsidRPr="008C4ADD">
              <w:rPr>
                <w:rStyle w:val="Hyperlink"/>
                <w:noProof/>
              </w:rPr>
              <w:t>2.7</w:t>
            </w:r>
            <w:r>
              <w:rPr>
                <w:rFonts w:eastAsiaTheme="minorEastAsia" w:cstheme="minorBidi"/>
                <w:i w:val="0"/>
                <w:iCs w:val="0"/>
                <w:noProof/>
                <w:kern w:val="2"/>
                <w:sz w:val="24"/>
                <w:szCs w:val="24"/>
                <w14:ligatures w14:val="standardContextual"/>
              </w:rPr>
              <w:tab/>
            </w:r>
            <w:r w:rsidRPr="008C4ADD">
              <w:rPr>
                <w:rStyle w:val="Hyperlink"/>
                <w:noProof/>
              </w:rPr>
              <w:t>Language proofreading</w:t>
            </w:r>
            <w:r>
              <w:rPr>
                <w:noProof/>
                <w:webHidden/>
              </w:rPr>
              <w:tab/>
            </w:r>
            <w:r>
              <w:rPr>
                <w:noProof/>
                <w:webHidden/>
              </w:rPr>
              <w:fldChar w:fldCharType="begin"/>
            </w:r>
            <w:r>
              <w:rPr>
                <w:noProof/>
                <w:webHidden/>
              </w:rPr>
              <w:instrText xml:space="preserve"> PAGEREF _Toc213182574 \h </w:instrText>
            </w:r>
            <w:r>
              <w:rPr>
                <w:noProof/>
                <w:webHidden/>
              </w:rPr>
            </w:r>
            <w:r>
              <w:rPr>
                <w:noProof/>
                <w:webHidden/>
              </w:rPr>
              <w:fldChar w:fldCharType="separate"/>
            </w:r>
            <w:r>
              <w:rPr>
                <w:noProof/>
                <w:webHidden/>
              </w:rPr>
              <w:t>10</w:t>
            </w:r>
            <w:r>
              <w:rPr>
                <w:noProof/>
                <w:webHidden/>
              </w:rPr>
              <w:fldChar w:fldCharType="end"/>
            </w:r>
          </w:hyperlink>
        </w:p>
        <w:p w14:paraId="71ABA3A2" w14:textId="2DDD57D3" w:rsidR="008F144E" w:rsidRDefault="008F144E">
          <w:pPr>
            <w:pStyle w:val="TOC1"/>
            <w:tabs>
              <w:tab w:val="left" w:pos="480"/>
              <w:tab w:val="right" w:leader="dot" w:pos="9064"/>
            </w:tabs>
            <w:rPr>
              <w:rFonts w:eastAsiaTheme="minorEastAsia" w:cstheme="minorBidi"/>
              <w:b w:val="0"/>
              <w:bCs w:val="0"/>
              <w:noProof/>
              <w:kern w:val="2"/>
              <w:sz w:val="24"/>
              <w:szCs w:val="24"/>
              <w14:ligatures w14:val="standardContextual"/>
            </w:rPr>
          </w:pPr>
          <w:hyperlink w:anchor="_Toc213182575" w:history="1">
            <w:r w:rsidRPr="008C4ADD">
              <w:rPr>
                <w:rStyle w:val="Hyperlink"/>
                <w:noProof/>
              </w:rPr>
              <w:t>3</w:t>
            </w:r>
            <w:r>
              <w:rPr>
                <w:rFonts w:eastAsiaTheme="minorEastAsia" w:cstheme="minorBidi"/>
                <w:b w:val="0"/>
                <w:bCs w:val="0"/>
                <w:noProof/>
                <w:kern w:val="2"/>
                <w:sz w:val="24"/>
                <w:szCs w:val="24"/>
                <w14:ligatures w14:val="standardContextual"/>
              </w:rPr>
              <w:tab/>
            </w:r>
            <w:r w:rsidRPr="008C4ADD">
              <w:rPr>
                <w:rStyle w:val="Hyperlink"/>
                <w:noProof/>
              </w:rPr>
              <w:t>Overview of Surgical Modalities</w:t>
            </w:r>
            <w:r>
              <w:rPr>
                <w:noProof/>
                <w:webHidden/>
              </w:rPr>
              <w:tab/>
            </w:r>
            <w:r>
              <w:rPr>
                <w:noProof/>
                <w:webHidden/>
              </w:rPr>
              <w:fldChar w:fldCharType="begin"/>
            </w:r>
            <w:r>
              <w:rPr>
                <w:noProof/>
                <w:webHidden/>
              </w:rPr>
              <w:instrText xml:space="preserve"> PAGEREF _Toc213182575 \h </w:instrText>
            </w:r>
            <w:r>
              <w:rPr>
                <w:noProof/>
                <w:webHidden/>
              </w:rPr>
            </w:r>
            <w:r>
              <w:rPr>
                <w:noProof/>
                <w:webHidden/>
              </w:rPr>
              <w:fldChar w:fldCharType="separate"/>
            </w:r>
            <w:r>
              <w:rPr>
                <w:noProof/>
                <w:webHidden/>
              </w:rPr>
              <w:t>11</w:t>
            </w:r>
            <w:r>
              <w:rPr>
                <w:noProof/>
                <w:webHidden/>
              </w:rPr>
              <w:fldChar w:fldCharType="end"/>
            </w:r>
          </w:hyperlink>
        </w:p>
        <w:p w14:paraId="60B16DA5" w14:textId="66587A42"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76" w:history="1">
            <w:r w:rsidRPr="008C4ADD">
              <w:rPr>
                <w:rStyle w:val="Hyperlink"/>
                <w:noProof/>
              </w:rPr>
              <w:t>3.1</w:t>
            </w:r>
            <w:r>
              <w:rPr>
                <w:rFonts w:eastAsiaTheme="minorEastAsia" w:cstheme="minorBidi"/>
                <w:i w:val="0"/>
                <w:iCs w:val="0"/>
                <w:noProof/>
                <w:kern w:val="2"/>
                <w:sz w:val="24"/>
                <w:szCs w:val="24"/>
                <w14:ligatures w14:val="standardContextual"/>
              </w:rPr>
              <w:tab/>
            </w:r>
            <w:r w:rsidRPr="008C4ADD">
              <w:rPr>
                <w:rStyle w:val="Hyperlink"/>
                <w:noProof/>
              </w:rPr>
              <w:t>Laser trabeculoplasties</w:t>
            </w:r>
            <w:r>
              <w:rPr>
                <w:noProof/>
                <w:webHidden/>
              </w:rPr>
              <w:tab/>
            </w:r>
            <w:r>
              <w:rPr>
                <w:noProof/>
                <w:webHidden/>
              </w:rPr>
              <w:fldChar w:fldCharType="begin"/>
            </w:r>
            <w:r>
              <w:rPr>
                <w:noProof/>
                <w:webHidden/>
              </w:rPr>
              <w:instrText xml:space="preserve"> PAGEREF _Toc213182576 \h </w:instrText>
            </w:r>
            <w:r>
              <w:rPr>
                <w:noProof/>
                <w:webHidden/>
              </w:rPr>
            </w:r>
            <w:r>
              <w:rPr>
                <w:noProof/>
                <w:webHidden/>
              </w:rPr>
              <w:fldChar w:fldCharType="separate"/>
            </w:r>
            <w:r>
              <w:rPr>
                <w:noProof/>
                <w:webHidden/>
              </w:rPr>
              <w:t>11</w:t>
            </w:r>
            <w:r>
              <w:rPr>
                <w:noProof/>
                <w:webHidden/>
              </w:rPr>
              <w:fldChar w:fldCharType="end"/>
            </w:r>
          </w:hyperlink>
        </w:p>
        <w:p w14:paraId="11C82D15" w14:textId="0867FB2F"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77" w:history="1">
            <w:r w:rsidRPr="008C4ADD">
              <w:rPr>
                <w:rStyle w:val="Hyperlink"/>
                <w:noProof/>
              </w:rPr>
              <w:t>3.2</w:t>
            </w:r>
            <w:r>
              <w:rPr>
                <w:rFonts w:eastAsiaTheme="minorEastAsia" w:cstheme="minorBidi"/>
                <w:i w:val="0"/>
                <w:iCs w:val="0"/>
                <w:noProof/>
                <w:kern w:val="2"/>
                <w:sz w:val="24"/>
                <w:szCs w:val="24"/>
                <w14:ligatures w14:val="standardContextual"/>
              </w:rPr>
              <w:tab/>
            </w:r>
            <w:r w:rsidRPr="008C4ADD">
              <w:rPr>
                <w:rStyle w:val="Hyperlink"/>
                <w:noProof/>
              </w:rPr>
              <w:t>Penetrating Surgeries</w:t>
            </w:r>
            <w:r>
              <w:rPr>
                <w:noProof/>
                <w:webHidden/>
              </w:rPr>
              <w:tab/>
            </w:r>
            <w:r>
              <w:rPr>
                <w:noProof/>
                <w:webHidden/>
              </w:rPr>
              <w:fldChar w:fldCharType="begin"/>
            </w:r>
            <w:r>
              <w:rPr>
                <w:noProof/>
                <w:webHidden/>
              </w:rPr>
              <w:instrText xml:space="preserve"> PAGEREF _Toc213182577 \h </w:instrText>
            </w:r>
            <w:r>
              <w:rPr>
                <w:noProof/>
                <w:webHidden/>
              </w:rPr>
            </w:r>
            <w:r>
              <w:rPr>
                <w:noProof/>
                <w:webHidden/>
              </w:rPr>
              <w:fldChar w:fldCharType="separate"/>
            </w:r>
            <w:r>
              <w:rPr>
                <w:noProof/>
                <w:webHidden/>
              </w:rPr>
              <w:t>13</w:t>
            </w:r>
            <w:r>
              <w:rPr>
                <w:noProof/>
                <w:webHidden/>
              </w:rPr>
              <w:fldChar w:fldCharType="end"/>
            </w:r>
          </w:hyperlink>
        </w:p>
        <w:p w14:paraId="477645D0" w14:textId="03B6FD6A"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78" w:history="1">
            <w:r w:rsidRPr="008C4ADD">
              <w:rPr>
                <w:rStyle w:val="Hyperlink"/>
                <w:noProof/>
              </w:rPr>
              <w:t>3.3</w:t>
            </w:r>
            <w:r>
              <w:rPr>
                <w:rFonts w:eastAsiaTheme="minorEastAsia" w:cstheme="minorBidi"/>
                <w:i w:val="0"/>
                <w:iCs w:val="0"/>
                <w:noProof/>
                <w:kern w:val="2"/>
                <w:sz w:val="24"/>
                <w:szCs w:val="24"/>
                <w14:ligatures w14:val="standardContextual"/>
              </w:rPr>
              <w:tab/>
            </w:r>
            <w:r w:rsidRPr="008C4ADD">
              <w:rPr>
                <w:rStyle w:val="Hyperlink"/>
                <w:noProof/>
              </w:rPr>
              <w:t>Non-Penetrating Surgeries</w:t>
            </w:r>
            <w:r>
              <w:rPr>
                <w:noProof/>
                <w:webHidden/>
              </w:rPr>
              <w:tab/>
            </w:r>
            <w:r>
              <w:rPr>
                <w:noProof/>
                <w:webHidden/>
              </w:rPr>
              <w:fldChar w:fldCharType="begin"/>
            </w:r>
            <w:r>
              <w:rPr>
                <w:noProof/>
                <w:webHidden/>
              </w:rPr>
              <w:instrText xml:space="preserve"> PAGEREF _Toc213182578 \h </w:instrText>
            </w:r>
            <w:r>
              <w:rPr>
                <w:noProof/>
                <w:webHidden/>
              </w:rPr>
            </w:r>
            <w:r>
              <w:rPr>
                <w:noProof/>
                <w:webHidden/>
              </w:rPr>
              <w:fldChar w:fldCharType="separate"/>
            </w:r>
            <w:r>
              <w:rPr>
                <w:noProof/>
                <w:webHidden/>
              </w:rPr>
              <w:t>16</w:t>
            </w:r>
            <w:r>
              <w:rPr>
                <w:noProof/>
                <w:webHidden/>
              </w:rPr>
              <w:fldChar w:fldCharType="end"/>
            </w:r>
          </w:hyperlink>
        </w:p>
        <w:p w14:paraId="1F610578" w14:textId="78E91E10"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79" w:history="1">
            <w:r w:rsidRPr="008C4ADD">
              <w:rPr>
                <w:rStyle w:val="Hyperlink"/>
                <w:noProof/>
              </w:rPr>
              <w:t>3.4</w:t>
            </w:r>
            <w:r>
              <w:rPr>
                <w:rFonts w:eastAsiaTheme="minorEastAsia" w:cstheme="minorBidi"/>
                <w:i w:val="0"/>
                <w:iCs w:val="0"/>
                <w:noProof/>
                <w:kern w:val="2"/>
                <w:sz w:val="24"/>
                <w:szCs w:val="24"/>
                <w14:ligatures w14:val="standardContextual"/>
              </w:rPr>
              <w:tab/>
            </w:r>
            <w:r w:rsidRPr="008C4ADD">
              <w:rPr>
                <w:rStyle w:val="Hyperlink"/>
                <w:noProof/>
              </w:rPr>
              <w:t>Minimally Invasive Glaucoma Surgeries (MIGS)</w:t>
            </w:r>
            <w:r>
              <w:rPr>
                <w:noProof/>
                <w:webHidden/>
              </w:rPr>
              <w:tab/>
            </w:r>
            <w:r>
              <w:rPr>
                <w:noProof/>
                <w:webHidden/>
              </w:rPr>
              <w:fldChar w:fldCharType="begin"/>
            </w:r>
            <w:r>
              <w:rPr>
                <w:noProof/>
                <w:webHidden/>
              </w:rPr>
              <w:instrText xml:space="preserve"> PAGEREF _Toc213182579 \h </w:instrText>
            </w:r>
            <w:r>
              <w:rPr>
                <w:noProof/>
                <w:webHidden/>
              </w:rPr>
            </w:r>
            <w:r>
              <w:rPr>
                <w:noProof/>
                <w:webHidden/>
              </w:rPr>
              <w:fldChar w:fldCharType="separate"/>
            </w:r>
            <w:r>
              <w:rPr>
                <w:noProof/>
                <w:webHidden/>
              </w:rPr>
              <w:t>18</w:t>
            </w:r>
            <w:r>
              <w:rPr>
                <w:noProof/>
                <w:webHidden/>
              </w:rPr>
              <w:fldChar w:fldCharType="end"/>
            </w:r>
          </w:hyperlink>
        </w:p>
        <w:p w14:paraId="681B9C51" w14:textId="213DB223"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80" w:history="1">
            <w:r w:rsidRPr="008C4ADD">
              <w:rPr>
                <w:rStyle w:val="Hyperlink"/>
                <w:noProof/>
              </w:rPr>
              <w:t>3.5</w:t>
            </w:r>
            <w:r>
              <w:rPr>
                <w:rFonts w:eastAsiaTheme="minorEastAsia" w:cstheme="minorBidi"/>
                <w:i w:val="0"/>
                <w:iCs w:val="0"/>
                <w:noProof/>
                <w:kern w:val="2"/>
                <w:sz w:val="24"/>
                <w:szCs w:val="24"/>
                <w14:ligatures w14:val="standardContextual"/>
              </w:rPr>
              <w:tab/>
            </w:r>
            <w:r w:rsidRPr="008C4ADD">
              <w:rPr>
                <w:rStyle w:val="Hyperlink"/>
                <w:noProof/>
              </w:rPr>
              <w:t>Micro-Invasive Filtration Surgeries (MIFS)</w:t>
            </w:r>
            <w:r>
              <w:rPr>
                <w:noProof/>
                <w:webHidden/>
              </w:rPr>
              <w:tab/>
            </w:r>
            <w:r>
              <w:rPr>
                <w:noProof/>
                <w:webHidden/>
              </w:rPr>
              <w:fldChar w:fldCharType="begin"/>
            </w:r>
            <w:r>
              <w:rPr>
                <w:noProof/>
                <w:webHidden/>
              </w:rPr>
              <w:instrText xml:space="preserve"> PAGEREF _Toc213182580 \h </w:instrText>
            </w:r>
            <w:r>
              <w:rPr>
                <w:noProof/>
                <w:webHidden/>
              </w:rPr>
            </w:r>
            <w:r>
              <w:rPr>
                <w:noProof/>
                <w:webHidden/>
              </w:rPr>
              <w:fldChar w:fldCharType="separate"/>
            </w:r>
            <w:r>
              <w:rPr>
                <w:noProof/>
                <w:webHidden/>
              </w:rPr>
              <w:t>20</w:t>
            </w:r>
            <w:r>
              <w:rPr>
                <w:noProof/>
                <w:webHidden/>
              </w:rPr>
              <w:fldChar w:fldCharType="end"/>
            </w:r>
          </w:hyperlink>
        </w:p>
        <w:p w14:paraId="0648B375" w14:textId="132B3E41"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81" w:history="1">
            <w:r w:rsidRPr="008C4ADD">
              <w:rPr>
                <w:rStyle w:val="Hyperlink"/>
                <w:noProof/>
              </w:rPr>
              <w:t>3.6</w:t>
            </w:r>
            <w:r>
              <w:rPr>
                <w:rFonts w:eastAsiaTheme="minorEastAsia" w:cstheme="minorBidi"/>
                <w:i w:val="0"/>
                <w:iCs w:val="0"/>
                <w:noProof/>
                <w:kern w:val="2"/>
                <w:sz w:val="24"/>
                <w:szCs w:val="24"/>
                <w14:ligatures w14:val="standardContextual"/>
              </w:rPr>
              <w:tab/>
            </w:r>
            <w:r w:rsidRPr="008C4ADD">
              <w:rPr>
                <w:rStyle w:val="Hyperlink"/>
                <w:noProof/>
              </w:rPr>
              <w:t>Cyclodestructive Procedures</w:t>
            </w:r>
            <w:r>
              <w:rPr>
                <w:noProof/>
                <w:webHidden/>
              </w:rPr>
              <w:tab/>
            </w:r>
            <w:r>
              <w:rPr>
                <w:noProof/>
                <w:webHidden/>
              </w:rPr>
              <w:fldChar w:fldCharType="begin"/>
            </w:r>
            <w:r>
              <w:rPr>
                <w:noProof/>
                <w:webHidden/>
              </w:rPr>
              <w:instrText xml:space="preserve"> PAGEREF _Toc213182581 \h </w:instrText>
            </w:r>
            <w:r>
              <w:rPr>
                <w:noProof/>
                <w:webHidden/>
              </w:rPr>
            </w:r>
            <w:r>
              <w:rPr>
                <w:noProof/>
                <w:webHidden/>
              </w:rPr>
              <w:fldChar w:fldCharType="separate"/>
            </w:r>
            <w:r>
              <w:rPr>
                <w:noProof/>
                <w:webHidden/>
              </w:rPr>
              <w:t>23</w:t>
            </w:r>
            <w:r>
              <w:rPr>
                <w:noProof/>
                <w:webHidden/>
              </w:rPr>
              <w:fldChar w:fldCharType="end"/>
            </w:r>
          </w:hyperlink>
        </w:p>
        <w:p w14:paraId="2E1955CA" w14:textId="03665724" w:rsidR="008F144E" w:rsidRDefault="008F144E">
          <w:pPr>
            <w:pStyle w:val="TOC1"/>
            <w:tabs>
              <w:tab w:val="left" w:pos="480"/>
              <w:tab w:val="right" w:leader="dot" w:pos="9064"/>
            </w:tabs>
            <w:rPr>
              <w:rFonts w:eastAsiaTheme="minorEastAsia" w:cstheme="minorBidi"/>
              <w:b w:val="0"/>
              <w:bCs w:val="0"/>
              <w:noProof/>
              <w:kern w:val="2"/>
              <w:sz w:val="24"/>
              <w:szCs w:val="24"/>
              <w14:ligatures w14:val="standardContextual"/>
            </w:rPr>
          </w:pPr>
          <w:hyperlink w:anchor="_Toc213182582" w:history="1">
            <w:r w:rsidRPr="008C4ADD">
              <w:rPr>
                <w:rStyle w:val="Hyperlink"/>
                <w:noProof/>
              </w:rPr>
              <w:t>4</w:t>
            </w:r>
            <w:r>
              <w:rPr>
                <w:rFonts w:eastAsiaTheme="minorEastAsia" w:cstheme="minorBidi"/>
                <w:b w:val="0"/>
                <w:bCs w:val="0"/>
                <w:noProof/>
                <w:kern w:val="2"/>
                <w:sz w:val="24"/>
                <w:szCs w:val="24"/>
                <w14:ligatures w14:val="standardContextual"/>
              </w:rPr>
              <w:tab/>
            </w:r>
            <w:r w:rsidRPr="008C4ADD">
              <w:rPr>
                <w:rStyle w:val="Hyperlink"/>
                <w:noProof/>
              </w:rPr>
              <w:t>Discussion</w:t>
            </w:r>
            <w:r>
              <w:rPr>
                <w:noProof/>
                <w:webHidden/>
              </w:rPr>
              <w:tab/>
            </w:r>
            <w:r>
              <w:rPr>
                <w:noProof/>
                <w:webHidden/>
              </w:rPr>
              <w:fldChar w:fldCharType="begin"/>
            </w:r>
            <w:r>
              <w:rPr>
                <w:noProof/>
                <w:webHidden/>
              </w:rPr>
              <w:instrText xml:space="preserve"> PAGEREF _Toc213182582 \h </w:instrText>
            </w:r>
            <w:r>
              <w:rPr>
                <w:noProof/>
                <w:webHidden/>
              </w:rPr>
            </w:r>
            <w:r>
              <w:rPr>
                <w:noProof/>
                <w:webHidden/>
              </w:rPr>
              <w:fldChar w:fldCharType="separate"/>
            </w:r>
            <w:r>
              <w:rPr>
                <w:noProof/>
                <w:webHidden/>
              </w:rPr>
              <w:t>25</w:t>
            </w:r>
            <w:r>
              <w:rPr>
                <w:noProof/>
                <w:webHidden/>
              </w:rPr>
              <w:fldChar w:fldCharType="end"/>
            </w:r>
          </w:hyperlink>
        </w:p>
        <w:p w14:paraId="1CFCE866" w14:textId="455E034A"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83" w:history="1">
            <w:r w:rsidRPr="008C4ADD">
              <w:rPr>
                <w:rStyle w:val="Hyperlink"/>
                <w:noProof/>
              </w:rPr>
              <w:t>4.1</w:t>
            </w:r>
            <w:r>
              <w:rPr>
                <w:rFonts w:eastAsiaTheme="minorEastAsia" w:cstheme="minorBidi"/>
                <w:i w:val="0"/>
                <w:iCs w:val="0"/>
                <w:noProof/>
                <w:kern w:val="2"/>
                <w:sz w:val="24"/>
                <w:szCs w:val="24"/>
                <w14:ligatures w14:val="standardContextual"/>
              </w:rPr>
              <w:tab/>
            </w:r>
            <w:r w:rsidRPr="008C4ADD">
              <w:rPr>
                <w:rStyle w:val="Hyperlink"/>
                <w:noProof/>
              </w:rPr>
              <w:t>Comparative outcomes</w:t>
            </w:r>
            <w:r>
              <w:rPr>
                <w:noProof/>
                <w:webHidden/>
              </w:rPr>
              <w:tab/>
            </w:r>
            <w:r>
              <w:rPr>
                <w:noProof/>
                <w:webHidden/>
              </w:rPr>
              <w:fldChar w:fldCharType="begin"/>
            </w:r>
            <w:r>
              <w:rPr>
                <w:noProof/>
                <w:webHidden/>
              </w:rPr>
              <w:instrText xml:space="preserve"> PAGEREF _Toc213182583 \h </w:instrText>
            </w:r>
            <w:r>
              <w:rPr>
                <w:noProof/>
                <w:webHidden/>
              </w:rPr>
            </w:r>
            <w:r>
              <w:rPr>
                <w:noProof/>
                <w:webHidden/>
              </w:rPr>
              <w:fldChar w:fldCharType="separate"/>
            </w:r>
            <w:r>
              <w:rPr>
                <w:noProof/>
                <w:webHidden/>
              </w:rPr>
              <w:t>25</w:t>
            </w:r>
            <w:r>
              <w:rPr>
                <w:noProof/>
                <w:webHidden/>
              </w:rPr>
              <w:fldChar w:fldCharType="end"/>
            </w:r>
          </w:hyperlink>
        </w:p>
        <w:p w14:paraId="2D6C4582" w14:textId="1C14DACC"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84" w:history="1">
            <w:r w:rsidRPr="008C4ADD">
              <w:rPr>
                <w:rStyle w:val="Hyperlink"/>
                <w:noProof/>
              </w:rPr>
              <w:t>4.2</w:t>
            </w:r>
            <w:r>
              <w:rPr>
                <w:rFonts w:eastAsiaTheme="minorEastAsia" w:cstheme="minorBidi"/>
                <w:i w:val="0"/>
                <w:iCs w:val="0"/>
                <w:noProof/>
                <w:kern w:val="2"/>
                <w:sz w:val="24"/>
                <w:szCs w:val="24"/>
                <w14:ligatures w14:val="standardContextual"/>
              </w:rPr>
              <w:tab/>
            </w:r>
            <w:r w:rsidRPr="008C4ADD">
              <w:rPr>
                <w:rStyle w:val="Hyperlink"/>
                <w:noProof/>
              </w:rPr>
              <w:t>Complication</w:t>
            </w:r>
            <w:r w:rsidRPr="008C4ADD">
              <w:rPr>
                <w:rStyle w:val="Hyperlink"/>
                <w:bCs/>
                <w:noProof/>
              </w:rPr>
              <w:t xml:space="preserve"> </w:t>
            </w:r>
            <w:r w:rsidRPr="008C4ADD">
              <w:rPr>
                <w:rStyle w:val="Hyperlink"/>
                <w:noProof/>
              </w:rPr>
              <w:t>patterns</w:t>
            </w:r>
            <w:r>
              <w:rPr>
                <w:noProof/>
                <w:webHidden/>
              </w:rPr>
              <w:tab/>
            </w:r>
            <w:r>
              <w:rPr>
                <w:noProof/>
                <w:webHidden/>
              </w:rPr>
              <w:fldChar w:fldCharType="begin"/>
            </w:r>
            <w:r>
              <w:rPr>
                <w:noProof/>
                <w:webHidden/>
              </w:rPr>
              <w:instrText xml:space="preserve"> PAGEREF _Toc213182584 \h </w:instrText>
            </w:r>
            <w:r>
              <w:rPr>
                <w:noProof/>
                <w:webHidden/>
              </w:rPr>
            </w:r>
            <w:r>
              <w:rPr>
                <w:noProof/>
                <w:webHidden/>
              </w:rPr>
              <w:fldChar w:fldCharType="separate"/>
            </w:r>
            <w:r>
              <w:rPr>
                <w:noProof/>
                <w:webHidden/>
              </w:rPr>
              <w:t>28</w:t>
            </w:r>
            <w:r>
              <w:rPr>
                <w:noProof/>
                <w:webHidden/>
              </w:rPr>
              <w:fldChar w:fldCharType="end"/>
            </w:r>
          </w:hyperlink>
        </w:p>
        <w:p w14:paraId="2DB34566" w14:textId="7DD20281" w:rsidR="008F144E" w:rsidRDefault="008F144E">
          <w:pPr>
            <w:pStyle w:val="TOC2"/>
            <w:tabs>
              <w:tab w:val="left" w:pos="960"/>
              <w:tab w:val="right" w:leader="dot" w:pos="9064"/>
            </w:tabs>
            <w:rPr>
              <w:rFonts w:eastAsiaTheme="minorEastAsia" w:cstheme="minorBidi"/>
              <w:i w:val="0"/>
              <w:iCs w:val="0"/>
              <w:noProof/>
              <w:kern w:val="2"/>
              <w:sz w:val="24"/>
              <w:szCs w:val="24"/>
              <w14:ligatures w14:val="standardContextual"/>
            </w:rPr>
          </w:pPr>
          <w:hyperlink w:anchor="_Toc213182585" w:history="1">
            <w:r w:rsidRPr="008C4ADD">
              <w:rPr>
                <w:rStyle w:val="Hyperlink"/>
                <w:bCs/>
                <w:noProof/>
              </w:rPr>
              <w:t>4.3</w:t>
            </w:r>
            <w:r>
              <w:rPr>
                <w:rFonts w:eastAsiaTheme="minorEastAsia" w:cstheme="minorBidi"/>
                <w:i w:val="0"/>
                <w:iCs w:val="0"/>
                <w:noProof/>
                <w:kern w:val="2"/>
                <w:sz w:val="24"/>
                <w:szCs w:val="24"/>
                <w14:ligatures w14:val="standardContextual"/>
              </w:rPr>
              <w:tab/>
            </w:r>
            <w:r w:rsidRPr="008C4ADD">
              <w:rPr>
                <w:rStyle w:val="Hyperlink"/>
                <w:noProof/>
              </w:rPr>
              <w:t>Risk stratification for procedure safety</w:t>
            </w:r>
            <w:r>
              <w:rPr>
                <w:noProof/>
                <w:webHidden/>
              </w:rPr>
              <w:tab/>
            </w:r>
            <w:r>
              <w:rPr>
                <w:noProof/>
                <w:webHidden/>
              </w:rPr>
              <w:fldChar w:fldCharType="begin"/>
            </w:r>
            <w:r>
              <w:rPr>
                <w:noProof/>
                <w:webHidden/>
              </w:rPr>
              <w:instrText xml:space="preserve"> PAGEREF _Toc213182585 \h </w:instrText>
            </w:r>
            <w:r>
              <w:rPr>
                <w:noProof/>
                <w:webHidden/>
              </w:rPr>
            </w:r>
            <w:r>
              <w:rPr>
                <w:noProof/>
                <w:webHidden/>
              </w:rPr>
              <w:fldChar w:fldCharType="separate"/>
            </w:r>
            <w:r>
              <w:rPr>
                <w:noProof/>
                <w:webHidden/>
              </w:rPr>
              <w:t>28</w:t>
            </w:r>
            <w:r>
              <w:rPr>
                <w:noProof/>
                <w:webHidden/>
              </w:rPr>
              <w:fldChar w:fldCharType="end"/>
            </w:r>
          </w:hyperlink>
        </w:p>
        <w:p w14:paraId="517A243C" w14:textId="167C08E8" w:rsidR="008F144E" w:rsidRDefault="008F144E">
          <w:pPr>
            <w:pStyle w:val="TOC1"/>
            <w:tabs>
              <w:tab w:val="left" w:pos="480"/>
              <w:tab w:val="right" w:leader="dot" w:pos="9064"/>
            </w:tabs>
            <w:rPr>
              <w:rFonts w:eastAsiaTheme="minorEastAsia" w:cstheme="minorBidi"/>
              <w:b w:val="0"/>
              <w:bCs w:val="0"/>
              <w:noProof/>
              <w:kern w:val="2"/>
              <w:sz w:val="24"/>
              <w:szCs w:val="24"/>
              <w14:ligatures w14:val="standardContextual"/>
            </w:rPr>
          </w:pPr>
          <w:hyperlink w:anchor="_Toc213182586" w:history="1">
            <w:r w:rsidRPr="008C4ADD">
              <w:rPr>
                <w:rStyle w:val="Hyperlink"/>
                <w:noProof/>
              </w:rPr>
              <w:t>5</w:t>
            </w:r>
            <w:r>
              <w:rPr>
                <w:rFonts w:eastAsiaTheme="minorEastAsia" w:cstheme="minorBidi"/>
                <w:b w:val="0"/>
                <w:bCs w:val="0"/>
                <w:noProof/>
                <w:kern w:val="2"/>
                <w:sz w:val="24"/>
                <w:szCs w:val="24"/>
                <w14:ligatures w14:val="standardContextual"/>
              </w:rPr>
              <w:tab/>
            </w:r>
            <w:r w:rsidRPr="008C4ADD">
              <w:rPr>
                <w:rStyle w:val="Hyperlink"/>
                <w:noProof/>
              </w:rPr>
              <w:t>Clinical Takeaways</w:t>
            </w:r>
            <w:r>
              <w:rPr>
                <w:noProof/>
                <w:webHidden/>
              </w:rPr>
              <w:tab/>
            </w:r>
            <w:r>
              <w:rPr>
                <w:noProof/>
                <w:webHidden/>
              </w:rPr>
              <w:fldChar w:fldCharType="begin"/>
            </w:r>
            <w:r>
              <w:rPr>
                <w:noProof/>
                <w:webHidden/>
              </w:rPr>
              <w:instrText xml:space="preserve"> PAGEREF _Toc213182586 \h </w:instrText>
            </w:r>
            <w:r>
              <w:rPr>
                <w:noProof/>
                <w:webHidden/>
              </w:rPr>
            </w:r>
            <w:r>
              <w:rPr>
                <w:noProof/>
                <w:webHidden/>
              </w:rPr>
              <w:fldChar w:fldCharType="separate"/>
            </w:r>
            <w:r>
              <w:rPr>
                <w:noProof/>
                <w:webHidden/>
              </w:rPr>
              <w:t>29</w:t>
            </w:r>
            <w:r>
              <w:rPr>
                <w:noProof/>
                <w:webHidden/>
              </w:rPr>
              <w:fldChar w:fldCharType="end"/>
            </w:r>
          </w:hyperlink>
        </w:p>
        <w:p w14:paraId="55CCE4E4" w14:textId="3B4D8544" w:rsidR="008F144E" w:rsidRDefault="008F144E">
          <w:pPr>
            <w:pStyle w:val="TOC1"/>
            <w:tabs>
              <w:tab w:val="left" w:pos="480"/>
              <w:tab w:val="right" w:leader="dot" w:pos="9064"/>
            </w:tabs>
            <w:rPr>
              <w:rFonts w:eastAsiaTheme="minorEastAsia" w:cstheme="minorBidi"/>
              <w:b w:val="0"/>
              <w:bCs w:val="0"/>
              <w:noProof/>
              <w:kern w:val="2"/>
              <w:sz w:val="24"/>
              <w:szCs w:val="24"/>
              <w14:ligatures w14:val="standardContextual"/>
            </w:rPr>
          </w:pPr>
          <w:hyperlink w:anchor="_Toc213182587" w:history="1">
            <w:r w:rsidRPr="008C4ADD">
              <w:rPr>
                <w:rStyle w:val="Hyperlink"/>
                <w:noProof/>
              </w:rPr>
              <w:t>6</w:t>
            </w:r>
            <w:r>
              <w:rPr>
                <w:rFonts w:eastAsiaTheme="minorEastAsia" w:cstheme="minorBidi"/>
                <w:b w:val="0"/>
                <w:bCs w:val="0"/>
                <w:noProof/>
                <w:kern w:val="2"/>
                <w:sz w:val="24"/>
                <w:szCs w:val="24"/>
                <w14:ligatures w14:val="standardContextual"/>
              </w:rPr>
              <w:tab/>
            </w:r>
            <w:r w:rsidRPr="008C4ADD">
              <w:rPr>
                <w:rStyle w:val="Hyperlink"/>
                <w:noProof/>
              </w:rPr>
              <w:t>Conclusion</w:t>
            </w:r>
            <w:r>
              <w:rPr>
                <w:noProof/>
                <w:webHidden/>
              </w:rPr>
              <w:tab/>
            </w:r>
            <w:r>
              <w:rPr>
                <w:noProof/>
                <w:webHidden/>
              </w:rPr>
              <w:fldChar w:fldCharType="begin"/>
            </w:r>
            <w:r>
              <w:rPr>
                <w:noProof/>
                <w:webHidden/>
              </w:rPr>
              <w:instrText xml:space="preserve"> PAGEREF _Toc213182587 \h </w:instrText>
            </w:r>
            <w:r>
              <w:rPr>
                <w:noProof/>
                <w:webHidden/>
              </w:rPr>
            </w:r>
            <w:r>
              <w:rPr>
                <w:noProof/>
                <w:webHidden/>
              </w:rPr>
              <w:fldChar w:fldCharType="separate"/>
            </w:r>
            <w:r>
              <w:rPr>
                <w:noProof/>
                <w:webHidden/>
              </w:rPr>
              <w:t>30</w:t>
            </w:r>
            <w:r>
              <w:rPr>
                <w:noProof/>
                <w:webHidden/>
              </w:rPr>
              <w:fldChar w:fldCharType="end"/>
            </w:r>
          </w:hyperlink>
        </w:p>
        <w:p w14:paraId="3075E987" w14:textId="6324BF83" w:rsidR="008F144E" w:rsidRDefault="008F144E">
          <w:pPr>
            <w:pStyle w:val="TOC1"/>
            <w:tabs>
              <w:tab w:val="left" w:pos="480"/>
              <w:tab w:val="right" w:leader="dot" w:pos="9064"/>
            </w:tabs>
            <w:rPr>
              <w:rFonts w:eastAsiaTheme="minorEastAsia" w:cstheme="minorBidi"/>
              <w:b w:val="0"/>
              <w:bCs w:val="0"/>
              <w:noProof/>
              <w:kern w:val="2"/>
              <w:sz w:val="24"/>
              <w:szCs w:val="24"/>
              <w14:ligatures w14:val="standardContextual"/>
            </w:rPr>
          </w:pPr>
          <w:hyperlink w:anchor="_Toc213182588" w:history="1">
            <w:r w:rsidRPr="008C4ADD">
              <w:rPr>
                <w:rStyle w:val="Hyperlink"/>
                <w:noProof/>
              </w:rPr>
              <w:t>7</w:t>
            </w:r>
            <w:r>
              <w:rPr>
                <w:rFonts w:eastAsiaTheme="minorEastAsia" w:cstheme="minorBidi"/>
                <w:b w:val="0"/>
                <w:bCs w:val="0"/>
                <w:noProof/>
                <w:kern w:val="2"/>
                <w:sz w:val="24"/>
                <w:szCs w:val="24"/>
                <w14:ligatures w14:val="standardContextual"/>
              </w:rPr>
              <w:tab/>
            </w:r>
            <w:r w:rsidRPr="008C4ADD">
              <w:rPr>
                <w:rStyle w:val="Hyperlink"/>
                <w:noProof/>
              </w:rPr>
              <w:t>REFERENCES</w:t>
            </w:r>
            <w:r>
              <w:rPr>
                <w:noProof/>
                <w:webHidden/>
              </w:rPr>
              <w:tab/>
            </w:r>
            <w:r>
              <w:rPr>
                <w:noProof/>
                <w:webHidden/>
              </w:rPr>
              <w:fldChar w:fldCharType="begin"/>
            </w:r>
            <w:r>
              <w:rPr>
                <w:noProof/>
                <w:webHidden/>
              </w:rPr>
              <w:instrText xml:space="preserve"> PAGEREF _Toc213182588 \h </w:instrText>
            </w:r>
            <w:r>
              <w:rPr>
                <w:noProof/>
                <w:webHidden/>
              </w:rPr>
            </w:r>
            <w:r>
              <w:rPr>
                <w:noProof/>
                <w:webHidden/>
              </w:rPr>
              <w:fldChar w:fldCharType="separate"/>
            </w:r>
            <w:r>
              <w:rPr>
                <w:noProof/>
                <w:webHidden/>
              </w:rPr>
              <w:t>32</w:t>
            </w:r>
            <w:r>
              <w:rPr>
                <w:noProof/>
                <w:webHidden/>
              </w:rPr>
              <w:fldChar w:fldCharType="end"/>
            </w:r>
          </w:hyperlink>
        </w:p>
        <w:p w14:paraId="368CACB2" w14:textId="45618D18" w:rsidR="008F144E" w:rsidRDefault="008F144E">
          <w:pPr>
            <w:pStyle w:val="TOC1"/>
            <w:tabs>
              <w:tab w:val="left" w:pos="480"/>
              <w:tab w:val="right" w:leader="dot" w:pos="9064"/>
            </w:tabs>
            <w:rPr>
              <w:rFonts w:eastAsiaTheme="minorEastAsia" w:cstheme="minorBidi"/>
              <w:b w:val="0"/>
              <w:bCs w:val="0"/>
              <w:noProof/>
              <w:kern w:val="2"/>
              <w:sz w:val="24"/>
              <w:szCs w:val="24"/>
              <w14:ligatures w14:val="standardContextual"/>
            </w:rPr>
          </w:pPr>
          <w:hyperlink w:anchor="_Toc213182589" w:history="1">
            <w:r w:rsidRPr="008C4ADD">
              <w:rPr>
                <w:rStyle w:val="Hyperlink"/>
                <w:noProof/>
              </w:rPr>
              <w:t>8</w:t>
            </w:r>
            <w:r>
              <w:rPr>
                <w:rFonts w:eastAsiaTheme="minorEastAsia" w:cstheme="minorBidi"/>
                <w:b w:val="0"/>
                <w:bCs w:val="0"/>
                <w:noProof/>
                <w:kern w:val="2"/>
                <w:sz w:val="24"/>
                <w:szCs w:val="24"/>
                <w14:ligatures w14:val="standardContextual"/>
              </w:rPr>
              <w:tab/>
            </w:r>
            <w:r w:rsidRPr="008C4ADD">
              <w:rPr>
                <w:rStyle w:val="Hyperlink"/>
                <w:noProof/>
              </w:rPr>
              <w:t>APPENDICES</w:t>
            </w:r>
            <w:r>
              <w:rPr>
                <w:noProof/>
                <w:webHidden/>
              </w:rPr>
              <w:tab/>
            </w:r>
            <w:r>
              <w:rPr>
                <w:noProof/>
                <w:webHidden/>
              </w:rPr>
              <w:fldChar w:fldCharType="begin"/>
            </w:r>
            <w:r>
              <w:rPr>
                <w:noProof/>
                <w:webHidden/>
              </w:rPr>
              <w:instrText xml:space="preserve"> PAGEREF _Toc213182589 \h </w:instrText>
            </w:r>
            <w:r>
              <w:rPr>
                <w:noProof/>
                <w:webHidden/>
              </w:rPr>
            </w:r>
            <w:r>
              <w:rPr>
                <w:noProof/>
                <w:webHidden/>
              </w:rPr>
              <w:fldChar w:fldCharType="separate"/>
            </w:r>
            <w:r>
              <w:rPr>
                <w:noProof/>
                <w:webHidden/>
              </w:rPr>
              <w:t>47</w:t>
            </w:r>
            <w:r>
              <w:rPr>
                <w:noProof/>
                <w:webHidden/>
              </w:rPr>
              <w:fldChar w:fldCharType="end"/>
            </w:r>
          </w:hyperlink>
        </w:p>
        <w:p w14:paraId="2FDD79FB" w14:textId="4DC9FB89" w:rsidR="005A43FF" w:rsidRDefault="00F82B2B" w:rsidP="0041772C">
          <w:r w:rsidRPr="0041772C">
            <w:rPr>
              <w:color w:val="000000" w:themeColor="text1"/>
              <w:sz w:val="22"/>
              <w:szCs w:val="22"/>
            </w:rPr>
            <w:fldChar w:fldCharType="end"/>
          </w:r>
        </w:p>
      </w:sdtContent>
    </w:sdt>
    <w:p w14:paraId="6E163117" w14:textId="5E8C7C73" w:rsidR="00735D56" w:rsidRDefault="00A50C48" w:rsidP="009948CA">
      <w:pPr>
        <w:ind w:left="567" w:firstLine="567"/>
        <w:rPr>
          <w:b/>
          <w:bCs/>
        </w:rPr>
      </w:pPr>
      <w:r>
        <w:rPr>
          <w:b/>
          <w:bCs/>
        </w:rPr>
        <w:br w:type="page"/>
      </w:r>
      <w:bookmarkEnd w:id="3"/>
    </w:p>
    <w:p w14:paraId="55564527" w14:textId="35BA6119" w:rsidR="00735D56" w:rsidRDefault="00282D38" w:rsidP="00393E7A">
      <w:pPr>
        <w:ind w:firstLine="425"/>
        <w:jc w:val="center"/>
        <w:rPr>
          <w:b/>
          <w:bCs/>
        </w:rPr>
      </w:pPr>
      <w:r>
        <w:rPr>
          <w:b/>
          <w:bCs/>
        </w:rPr>
        <w:lastRenderedPageBreak/>
        <w:t>ABBREVIATIONS</w:t>
      </w:r>
    </w:p>
    <w:p w14:paraId="47831C3E" w14:textId="77777777" w:rsidR="00735D56" w:rsidRDefault="00735D56" w:rsidP="009537EE">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43"/>
        <w:gridCol w:w="5354"/>
      </w:tblGrid>
      <w:tr w:rsidR="00B037BE" w14:paraId="268EE402" w14:textId="77777777">
        <w:trPr>
          <w:tblHeader/>
          <w:tblCellSpacing w:w="15" w:type="dxa"/>
        </w:trPr>
        <w:tc>
          <w:tcPr>
            <w:tcW w:w="0" w:type="auto"/>
            <w:vAlign w:val="center"/>
            <w:hideMark/>
          </w:tcPr>
          <w:p w14:paraId="4AFF5E30" w14:textId="77777777" w:rsidR="00B037BE" w:rsidRDefault="00B037BE" w:rsidP="003A0B82">
            <w:pPr>
              <w:spacing w:line="360" w:lineRule="auto"/>
              <w:jc w:val="both"/>
              <w:rPr>
                <w:b/>
                <w:bCs/>
                <w:color w:val="000000"/>
              </w:rPr>
            </w:pPr>
            <w:r>
              <w:rPr>
                <w:rStyle w:val="Strong"/>
                <w:color w:val="000000"/>
              </w:rPr>
              <w:t>Abbreviation</w:t>
            </w:r>
          </w:p>
        </w:tc>
        <w:tc>
          <w:tcPr>
            <w:tcW w:w="0" w:type="auto"/>
            <w:vAlign w:val="center"/>
            <w:hideMark/>
          </w:tcPr>
          <w:p w14:paraId="41CD255D" w14:textId="77777777" w:rsidR="00B037BE" w:rsidRDefault="00B037BE" w:rsidP="003A0B82">
            <w:pPr>
              <w:spacing w:line="360" w:lineRule="auto"/>
              <w:jc w:val="both"/>
              <w:rPr>
                <w:b/>
                <w:bCs/>
                <w:color w:val="000000"/>
              </w:rPr>
            </w:pPr>
            <w:r>
              <w:rPr>
                <w:rStyle w:val="Strong"/>
                <w:color w:val="000000"/>
              </w:rPr>
              <w:t>Full Term</w:t>
            </w:r>
          </w:p>
        </w:tc>
      </w:tr>
      <w:tr w:rsidR="00B037BE" w14:paraId="137ED007" w14:textId="77777777">
        <w:trPr>
          <w:tblCellSpacing w:w="15" w:type="dxa"/>
        </w:trPr>
        <w:tc>
          <w:tcPr>
            <w:tcW w:w="0" w:type="auto"/>
            <w:vAlign w:val="center"/>
            <w:hideMark/>
          </w:tcPr>
          <w:p w14:paraId="52CDD9E5" w14:textId="77777777" w:rsidR="00B037BE" w:rsidRDefault="00B037BE" w:rsidP="003A0B82">
            <w:pPr>
              <w:spacing w:line="360" w:lineRule="auto"/>
              <w:jc w:val="both"/>
              <w:rPr>
                <w:color w:val="000000"/>
              </w:rPr>
            </w:pPr>
            <w:r>
              <w:rPr>
                <w:color w:val="000000"/>
              </w:rPr>
              <w:t>5-FU</w:t>
            </w:r>
          </w:p>
        </w:tc>
        <w:tc>
          <w:tcPr>
            <w:tcW w:w="0" w:type="auto"/>
            <w:vAlign w:val="center"/>
            <w:hideMark/>
          </w:tcPr>
          <w:p w14:paraId="3E2D16BC" w14:textId="77777777" w:rsidR="00B037BE" w:rsidRDefault="00B037BE" w:rsidP="003A0B82">
            <w:pPr>
              <w:spacing w:line="360" w:lineRule="auto"/>
              <w:jc w:val="both"/>
              <w:rPr>
                <w:color w:val="000000"/>
              </w:rPr>
            </w:pPr>
            <w:r>
              <w:rPr>
                <w:color w:val="000000"/>
              </w:rPr>
              <w:t>5-Fluorouracil</w:t>
            </w:r>
          </w:p>
        </w:tc>
      </w:tr>
      <w:tr w:rsidR="00B037BE" w14:paraId="5FF60ED4" w14:textId="77777777">
        <w:trPr>
          <w:tblCellSpacing w:w="15" w:type="dxa"/>
        </w:trPr>
        <w:tc>
          <w:tcPr>
            <w:tcW w:w="0" w:type="auto"/>
            <w:vAlign w:val="center"/>
            <w:hideMark/>
          </w:tcPr>
          <w:p w14:paraId="02FF6933" w14:textId="77777777" w:rsidR="00B037BE" w:rsidRDefault="00B037BE" w:rsidP="003A0B82">
            <w:pPr>
              <w:spacing w:line="360" w:lineRule="auto"/>
              <w:jc w:val="both"/>
              <w:rPr>
                <w:color w:val="000000"/>
              </w:rPr>
            </w:pPr>
            <w:r>
              <w:rPr>
                <w:color w:val="000000"/>
              </w:rPr>
              <w:t>AAO</w:t>
            </w:r>
          </w:p>
        </w:tc>
        <w:tc>
          <w:tcPr>
            <w:tcW w:w="0" w:type="auto"/>
            <w:vAlign w:val="center"/>
            <w:hideMark/>
          </w:tcPr>
          <w:p w14:paraId="1B73760A" w14:textId="77777777" w:rsidR="00B037BE" w:rsidRDefault="00B037BE" w:rsidP="003A0B82">
            <w:pPr>
              <w:spacing w:line="360" w:lineRule="auto"/>
              <w:jc w:val="both"/>
              <w:rPr>
                <w:color w:val="000000"/>
              </w:rPr>
            </w:pPr>
            <w:r>
              <w:rPr>
                <w:color w:val="000000"/>
              </w:rPr>
              <w:t>American Academy of Ophthalmology</w:t>
            </w:r>
          </w:p>
        </w:tc>
      </w:tr>
      <w:tr w:rsidR="00B037BE" w14:paraId="298B6522" w14:textId="77777777">
        <w:trPr>
          <w:tblCellSpacing w:w="15" w:type="dxa"/>
        </w:trPr>
        <w:tc>
          <w:tcPr>
            <w:tcW w:w="0" w:type="auto"/>
            <w:vAlign w:val="center"/>
            <w:hideMark/>
          </w:tcPr>
          <w:p w14:paraId="7DA3CA0E" w14:textId="77777777" w:rsidR="00B037BE" w:rsidRDefault="00B037BE" w:rsidP="003A0B82">
            <w:pPr>
              <w:spacing w:line="360" w:lineRule="auto"/>
              <w:jc w:val="both"/>
              <w:rPr>
                <w:color w:val="000000"/>
              </w:rPr>
            </w:pPr>
            <w:r>
              <w:rPr>
                <w:color w:val="000000"/>
              </w:rPr>
              <w:t>AC</w:t>
            </w:r>
          </w:p>
        </w:tc>
        <w:tc>
          <w:tcPr>
            <w:tcW w:w="0" w:type="auto"/>
            <w:vAlign w:val="center"/>
            <w:hideMark/>
          </w:tcPr>
          <w:p w14:paraId="0F8B82A2" w14:textId="77777777" w:rsidR="00B037BE" w:rsidRDefault="00B037BE" w:rsidP="003A0B82">
            <w:pPr>
              <w:spacing w:line="360" w:lineRule="auto"/>
              <w:jc w:val="both"/>
              <w:rPr>
                <w:color w:val="000000"/>
              </w:rPr>
            </w:pPr>
            <w:r>
              <w:rPr>
                <w:color w:val="000000"/>
              </w:rPr>
              <w:t>Anterior Chamber</w:t>
            </w:r>
          </w:p>
        </w:tc>
      </w:tr>
      <w:tr w:rsidR="00B037BE" w14:paraId="70680496" w14:textId="77777777">
        <w:trPr>
          <w:tblCellSpacing w:w="15" w:type="dxa"/>
        </w:trPr>
        <w:tc>
          <w:tcPr>
            <w:tcW w:w="0" w:type="auto"/>
            <w:vAlign w:val="center"/>
            <w:hideMark/>
          </w:tcPr>
          <w:p w14:paraId="63B391CE" w14:textId="77777777" w:rsidR="00B037BE" w:rsidRDefault="00B037BE" w:rsidP="003A0B82">
            <w:pPr>
              <w:spacing w:line="360" w:lineRule="auto"/>
              <w:jc w:val="both"/>
              <w:rPr>
                <w:color w:val="000000"/>
              </w:rPr>
            </w:pPr>
            <w:r>
              <w:rPr>
                <w:color w:val="000000"/>
              </w:rPr>
              <w:t>ALT</w:t>
            </w:r>
          </w:p>
        </w:tc>
        <w:tc>
          <w:tcPr>
            <w:tcW w:w="0" w:type="auto"/>
            <w:vAlign w:val="center"/>
            <w:hideMark/>
          </w:tcPr>
          <w:p w14:paraId="7AED7E79" w14:textId="77777777" w:rsidR="00B037BE" w:rsidRDefault="00B037BE" w:rsidP="003A0B82">
            <w:pPr>
              <w:spacing w:line="360" w:lineRule="auto"/>
              <w:jc w:val="both"/>
              <w:rPr>
                <w:color w:val="000000"/>
              </w:rPr>
            </w:pPr>
            <w:r>
              <w:rPr>
                <w:color w:val="000000"/>
              </w:rPr>
              <w:t>Argon Laser Trabeculoplasty</w:t>
            </w:r>
          </w:p>
        </w:tc>
      </w:tr>
      <w:tr w:rsidR="00B037BE" w14:paraId="68F4D0A2" w14:textId="77777777">
        <w:trPr>
          <w:tblCellSpacing w:w="15" w:type="dxa"/>
        </w:trPr>
        <w:tc>
          <w:tcPr>
            <w:tcW w:w="0" w:type="auto"/>
            <w:vAlign w:val="center"/>
            <w:hideMark/>
          </w:tcPr>
          <w:p w14:paraId="6184F2F7" w14:textId="77777777" w:rsidR="00B037BE" w:rsidRDefault="00B037BE" w:rsidP="003A0B82">
            <w:pPr>
              <w:spacing w:line="360" w:lineRule="auto"/>
              <w:jc w:val="both"/>
              <w:rPr>
                <w:color w:val="000000"/>
              </w:rPr>
            </w:pPr>
            <w:r>
              <w:rPr>
                <w:color w:val="000000"/>
              </w:rPr>
              <w:t>AS-OCT</w:t>
            </w:r>
          </w:p>
        </w:tc>
        <w:tc>
          <w:tcPr>
            <w:tcW w:w="0" w:type="auto"/>
            <w:vAlign w:val="center"/>
            <w:hideMark/>
          </w:tcPr>
          <w:p w14:paraId="4469CCF7" w14:textId="77777777" w:rsidR="00B037BE" w:rsidRDefault="00B037BE" w:rsidP="003A0B82">
            <w:pPr>
              <w:spacing w:line="360" w:lineRule="auto"/>
              <w:jc w:val="both"/>
              <w:rPr>
                <w:color w:val="000000"/>
              </w:rPr>
            </w:pPr>
            <w:r>
              <w:rPr>
                <w:color w:val="000000"/>
              </w:rPr>
              <w:t>Anterior Segment Optical Coherence Tomography</w:t>
            </w:r>
          </w:p>
        </w:tc>
      </w:tr>
      <w:tr w:rsidR="00B037BE" w14:paraId="70FE309F" w14:textId="77777777">
        <w:trPr>
          <w:tblCellSpacing w:w="15" w:type="dxa"/>
        </w:trPr>
        <w:tc>
          <w:tcPr>
            <w:tcW w:w="0" w:type="auto"/>
            <w:vAlign w:val="center"/>
            <w:hideMark/>
          </w:tcPr>
          <w:p w14:paraId="12F4C00E" w14:textId="77777777" w:rsidR="00B037BE" w:rsidRDefault="00B037BE" w:rsidP="003A0B82">
            <w:pPr>
              <w:spacing w:line="360" w:lineRule="auto"/>
              <w:jc w:val="both"/>
              <w:rPr>
                <w:color w:val="000000"/>
              </w:rPr>
            </w:pPr>
            <w:r>
              <w:rPr>
                <w:color w:val="000000"/>
              </w:rPr>
              <w:t>BCVA</w:t>
            </w:r>
          </w:p>
        </w:tc>
        <w:tc>
          <w:tcPr>
            <w:tcW w:w="0" w:type="auto"/>
            <w:vAlign w:val="center"/>
            <w:hideMark/>
          </w:tcPr>
          <w:p w14:paraId="52788D76" w14:textId="77777777" w:rsidR="00B037BE" w:rsidRDefault="00B037BE" w:rsidP="003A0B82">
            <w:pPr>
              <w:spacing w:line="360" w:lineRule="auto"/>
              <w:jc w:val="both"/>
              <w:rPr>
                <w:color w:val="000000"/>
              </w:rPr>
            </w:pPr>
            <w:r>
              <w:rPr>
                <w:color w:val="000000"/>
              </w:rPr>
              <w:t>Best-Corrected Visual Acuity</w:t>
            </w:r>
          </w:p>
        </w:tc>
      </w:tr>
      <w:tr w:rsidR="00B037BE" w14:paraId="29297E42" w14:textId="77777777">
        <w:trPr>
          <w:tblCellSpacing w:w="15" w:type="dxa"/>
        </w:trPr>
        <w:tc>
          <w:tcPr>
            <w:tcW w:w="0" w:type="auto"/>
            <w:vAlign w:val="center"/>
            <w:hideMark/>
          </w:tcPr>
          <w:p w14:paraId="629C3CEB" w14:textId="77777777" w:rsidR="00B037BE" w:rsidRDefault="00B037BE" w:rsidP="003A0B82">
            <w:pPr>
              <w:spacing w:line="360" w:lineRule="auto"/>
              <w:jc w:val="both"/>
              <w:rPr>
                <w:color w:val="000000"/>
              </w:rPr>
            </w:pPr>
            <w:r>
              <w:rPr>
                <w:color w:val="000000"/>
              </w:rPr>
              <w:t>BMJ</w:t>
            </w:r>
          </w:p>
        </w:tc>
        <w:tc>
          <w:tcPr>
            <w:tcW w:w="0" w:type="auto"/>
            <w:vAlign w:val="center"/>
            <w:hideMark/>
          </w:tcPr>
          <w:p w14:paraId="1ED9F8A3" w14:textId="77777777" w:rsidR="00B037BE" w:rsidRDefault="00B037BE" w:rsidP="003A0B82">
            <w:pPr>
              <w:spacing w:line="360" w:lineRule="auto"/>
              <w:jc w:val="both"/>
              <w:rPr>
                <w:color w:val="000000"/>
              </w:rPr>
            </w:pPr>
            <w:r>
              <w:rPr>
                <w:color w:val="000000"/>
              </w:rPr>
              <w:t>British Medical Journal</w:t>
            </w:r>
          </w:p>
        </w:tc>
      </w:tr>
      <w:tr w:rsidR="00B037BE" w14:paraId="1F8E3B0D" w14:textId="77777777">
        <w:trPr>
          <w:tblCellSpacing w:w="15" w:type="dxa"/>
        </w:trPr>
        <w:tc>
          <w:tcPr>
            <w:tcW w:w="0" w:type="auto"/>
            <w:vAlign w:val="center"/>
            <w:hideMark/>
          </w:tcPr>
          <w:p w14:paraId="37DD67DE" w14:textId="77777777" w:rsidR="00B037BE" w:rsidRDefault="00B037BE" w:rsidP="003A0B82">
            <w:pPr>
              <w:spacing w:line="360" w:lineRule="auto"/>
              <w:jc w:val="both"/>
              <w:rPr>
                <w:color w:val="000000"/>
              </w:rPr>
            </w:pPr>
            <w:r>
              <w:rPr>
                <w:color w:val="000000"/>
              </w:rPr>
              <w:t>CPC</w:t>
            </w:r>
          </w:p>
        </w:tc>
        <w:tc>
          <w:tcPr>
            <w:tcW w:w="0" w:type="auto"/>
            <w:vAlign w:val="center"/>
            <w:hideMark/>
          </w:tcPr>
          <w:p w14:paraId="43E68AD6" w14:textId="77777777" w:rsidR="00B037BE" w:rsidRDefault="00B037BE" w:rsidP="003A0B82">
            <w:pPr>
              <w:spacing w:line="360" w:lineRule="auto"/>
              <w:jc w:val="both"/>
              <w:rPr>
                <w:color w:val="000000"/>
              </w:rPr>
            </w:pPr>
            <w:r>
              <w:rPr>
                <w:color w:val="000000"/>
              </w:rPr>
              <w:t>Cyclophotocoagulation</w:t>
            </w:r>
          </w:p>
        </w:tc>
      </w:tr>
      <w:tr w:rsidR="00B037BE" w14:paraId="51BED882" w14:textId="77777777">
        <w:trPr>
          <w:tblCellSpacing w:w="15" w:type="dxa"/>
        </w:trPr>
        <w:tc>
          <w:tcPr>
            <w:tcW w:w="0" w:type="auto"/>
            <w:vAlign w:val="center"/>
            <w:hideMark/>
          </w:tcPr>
          <w:p w14:paraId="2E7C36C5" w14:textId="77777777" w:rsidR="00B037BE" w:rsidRDefault="00B037BE" w:rsidP="003A0B82">
            <w:pPr>
              <w:spacing w:line="360" w:lineRule="auto"/>
              <w:jc w:val="both"/>
              <w:rPr>
                <w:color w:val="000000"/>
              </w:rPr>
            </w:pPr>
            <w:r>
              <w:rPr>
                <w:color w:val="000000"/>
              </w:rPr>
              <w:t>CP</w:t>
            </w:r>
          </w:p>
        </w:tc>
        <w:tc>
          <w:tcPr>
            <w:tcW w:w="0" w:type="auto"/>
            <w:vAlign w:val="center"/>
            <w:hideMark/>
          </w:tcPr>
          <w:p w14:paraId="6E4DDD42" w14:textId="77777777" w:rsidR="00B037BE" w:rsidRDefault="00B037BE" w:rsidP="003A0B82">
            <w:pPr>
              <w:spacing w:line="360" w:lineRule="auto"/>
              <w:jc w:val="both"/>
              <w:rPr>
                <w:color w:val="000000"/>
              </w:rPr>
            </w:pPr>
            <w:r>
              <w:rPr>
                <w:color w:val="000000"/>
              </w:rPr>
              <w:t>Canaloplasty</w:t>
            </w:r>
          </w:p>
        </w:tc>
      </w:tr>
      <w:tr w:rsidR="00B037BE" w14:paraId="1B381C83" w14:textId="77777777">
        <w:trPr>
          <w:tblCellSpacing w:w="15" w:type="dxa"/>
        </w:trPr>
        <w:tc>
          <w:tcPr>
            <w:tcW w:w="0" w:type="auto"/>
            <w:vAlign w:val="center"/>
            <w:hideMark/>
          </w:tcPr>
          <w:p w14:paraId="2184E784" w14:textId="77777777" w:rsidR="00B037BE" w:rsidRDefault="00B037BE" w:rsidP="003A0B82">
            <w:pPr>
              <w:spacing w:line="360" w:lineRule="auto"/>
              <w:jc w:val="both"/>
              <w:rPr>
                <w:color w:val="000000"/>
              </w:rPr>
            </w:pPr>
            <w:r>
              <w:rPr>
                <w:color w:val="000000"/>
              </w:rPr>
              <w:t>CW-TS-CPC / CW-TSCPC</w:t>
            </w:r>
          </w:p>
        </w:tc>
        <w:tc>
          <w:tcPr>
            <w:tcW w:w="0" w:type="auto"/>
            <w:vAlign w:val="center"/>
            <w:hideMark/>
          </w:tcPr>
          <w:p w14:paraId="02B28933" w14:textId="77777777" w:rsidR="00B037BE" w:rsidRDefault="00B037BE" w:rsidP="003A0B82">
            <w:pPr>
              <w:spacing w:line="360" w:lineRule="auto"/>
              <w:jc w:val="both"/>
              <w:rPr>
                <w:color w:val="000000"/>
              </w:rPr>
            </w:pPr>
            <w:r>
              <w:rPr>
                <w:color w:val="000000"/>
              </w:rPr>
              <w:t>Continuous-Wave Transscleral Cyclophotocoagulation</w:t>
            </w:r>
          </w:p>
        </w:tc>
      </w:tr>
      <w:tr w:rsidR="00B037BE" w14:paraId="4BBEDEFB" w14:textId="77777777">
        <w:trPr>
          <w:tblCellSpacing w:w="15" w:type="dxa"/>
        </w:trPr>
        <w:tc>
          <w:tcPr>
            <w:tcW w:w="0" w:type="auto"/>
            <w:vAlign w:val="center"/>
            <w:hideMark/>
          </w:tcPr>
          <w:p w14:paraId="52AAA0D6" w14:textId="77777777" w:rsidR="00B037BE" w:rsidRDefault="00B037BE" w:rsidP="003A0B82">
            <w:pPr>
              <w:spacing w:line="360" w:lineRule="auto"/>
              <w:jc w:val="both"/>
              <w:rPr>
                <w:color w:val="000000"/>
              </w:rPr>
            </w:pPr>
            <w:r>
              <w:rPr>
                <w:color w:val="000000"/>
              </w:rPr>
              <w:t>DS</w:t>
            </w:r>
          </w:p>
        </w:tc>
        <w:tc>
          <w:tcPr>
            <w:tcW w:w="0" w:type="auto"/>
            <w:vAlign w:val="center"/>
            <w:hideMark/>
          </w:tcPr>
          <w:p w14:paraId="76E90403" w14:textId="77777777" w:rsidR="00B037BE" w:rsidRDefault="00B037BE" w:rsidP="003A0B82">
            <w:pPr>
              <w:spacing w:line="360" w:lineRule="auto"/>
              <w:jc w:val="both"/>
              <w:rPr>
                <w:color w:val="000000"/>
              </w:rPr>
            </w:pPr>
            <w:r>
              <w:rPr>
                <w:color w:val="000000"/>
              </w:rPr>
              <w:t>Deep Sclerectomy</w:t>
            </w:r>
          </w:p>
        </w:tc>
      </w:tr>
      <w:tr w:rsidR="00B037BE" w14:paraId="59DB2182" w14:textId="77777777">
        <w:trPr>
          <w:tblCellSpacing w:w="15" w:type="dxa"/>
        </w:trPr>
        <w:tc>
          <w:tcPr>
            <w:tcW w:w="0" w:type="auto"/>
            <w:vAlign w:val="center"/>
            <w:hideMark/>
          </w:tcPr>
          <w:p w14:paraId="747D18E6" w14:textId="77777777" w:rsidR="00B037BE" w:rsidRDefault="00B037BE" w:rsidP="003A0B82">
            <w:pPr>
              <w:spacing w:line="360" w:lineRule="auto"/>
              <w:jc w:val="both"/>
              <w:rPr>
                <w:color w:val="000000"/>
              </w:rPr>
            </w:pPr>
            <w:r>
              <w:rPr>
                <w:color w:val="000000"/>
              </w:rPr>
              <w:t>ECP</w:t>
            </w:r>
          </w:p>
        </w:tc>
        <w:tc>
          <w:tcPr>
            <w:tcW w:w="0" w:type="auto"/>
            <w:vAlign w:val="center"/>
            <w:hideMark/>
          </w:tcPr>
          <w:p w14:paraId="7E3127F6" w14:textId="77777777" w:rsidR="00B037BE" w:rsidRDefault="00B037BE" w:rsidP="003A0B82">
            <w:pPr>
              <w:spacing w:line="360" w:lineRule="auto"/>
              <w:jc w:val="both"/>
              <w:rPr>
                <w:color w:val="000000"/>
              </w:rPr>
            </w:pPr>
            <w:r>
              <w:rPr>
                <w:color w:val="000000"/>
              </w:rPr>
              <w:t>Endoscopic Cyclophotocoagulation</w:t>
            </w:r>
          </w:p>
        </w:tc>
      </w:tr>
      <w:tr w:rsidR="00B037BE" w14:paraId="2BD15C68" w14:textId="77777777">
        <w:trPr>
          <w:tblCellSpacing w:w="15" w:type="dxa"/>
        </w:trPr>
        <w:tc>
          <w:tcPr>
            <w:tcW w:w="0" w:type="auto"/>
            <w:vAlign w:val="center"/>
            <w:hideMark/>
          </w:tcPr>
          <w:p w14:paraId="46A16F10" w14:textId="77777777" w:rsidR="00B037BE" w:rsidRDefault="00B037BE" w:rsidP="003A0B82">
            <w:pPr>
              <w:spacing w:line="360" w:lineRule="auto"/>
              <w:jc w:val="both"/>
              <w:rPr>
                <w:color w:val="000000"/>
              </w:rPr>
            </w:pPr>
            <w:r>
              <w:rPr>
                <w:color w:val="000000"/>
              </w:rPr>
              <w:t>EGS</w:t>
            </w:r>
          </w:p>
        </w:tc>
        <w:tc>
          <w:tcPr>
            <w:tcW w:w="0" w:type="auto"/>
            <w:vAlign w:val="center"/>
            <w:hideMark/>
          </w:tcPr>
          <w:p w14:paraId="3A2E95CD" w14:textId="77777777" w:rsidR="00B037BE" w:rsidRDefault="00B037BE" w:rsidP="003A0B82">
            <w:pPr>
              <w:spacing w:line="360" w:lineRule="auto"/>
              <w:jc w:val="both"/>
              <w:rPr>
                <w:color w:val="000000"/>
              </w:rPr>
            </w:pPr>
            <w:r>
              <w:rPr>
                <w:color w:val="000000"/>
              </w:rPr>
              <w:t>European Glaucoma Society</w:t>
            </w:r>
          </w:p>
        </w:tc>
      </w:tr>
      <w:tr w:rsidR="00B037BE" w14:paraId="27B1910B" w14:textId="77777777">
        <w:trPr>
          <w:tblCellSpacing w:w="15" w:type="dxa"/>
        </w:trPr>
        <w:tc>
          <w:tcPr>
            <w:tcW w:w="0" w:type="auto"/>
            <w:vAlign w:val="center"/>
            <w:hideMark/>
          </w:tcPr>
          <w:p w14:paraId="19D2B961" w14:textId="77777777" w:rsidR="00B037BE" w:rsidRDefault="00B037BE" w:rsidP="003A0B82">
            <w:pPr>
              <w:spacing w:line="360" w:lineRule="auto"/>
              <w:jc w:val="both"/>
              <w:rPr>
                <w:color w:val="000000"/>
              </w:rPr>
            </w:pPr>
            <w:r>
              <w:rPr>
                <w:color w:val="000000"/>
              </w:rPr>
              <w:t>GATT</w:t>
            </w:r>
          </w:p>
        </w:tc>
        <w:tc>
          <w:tcPr>
            <w:tcW w:w="0" w:type="auto"/>
            <w:vAlign w:val="center"/>
            <w:hideMark/>
          </w:tcPr>
          <w:p w14:paraId="441E8F89" w14:textId="77777777" w:rsidR="00B037BE" w:rsidRDefault="00B037BE" w:rsidP="003A0B82">
            <w:pPr>
              <w:spacing w:line="360" w:lineRule="auto"/>
              <w:jc w:val="both"/>
              <w:rPr>
                <w:color w:val="000000"/>
              </w:rPr>
            </w:pPr>
            <w:r>
              <w:rPr>
                <w:color w:val="000000"/>
              </w:rPr>
              <w:t>Gonioscopy-Assisted Transluminal Trabeculotomy</w:t>
            </w:r>
          </w:p>
        </w:tc>
      </w:tr>
      <w:tr w:rsidR="00B037BE" w14:paraId="51869097" w14:textId="77777777">
        <w:trPr>
          <w:tblCellSpacing w:w="15" w:type="dxa"/>
        </w:trPr>
        <w:tc>
          <w:tcPr>
            <w:tcW w:w="0" w:type="auto"/>
            <w:vAlign w:val="center"/>
            <w:hideMark/>
          </w:tcPr>
          <w:p w14:paraId="62161CE0" w14:textId="77777777" w:rsidR="00B037BE" w:rsidRDefault="00B037BE" w:rsidP="003A0B82">
            <w:pPr>
              <w:spacing w:line="360" w:lineRule="auto"/>
              <w:jc w:val="both"/>
              <w:rPr>
                <w:color w:val="000000"/>
              </w:rPr>
            </w:pPr>
            <w:r>
              <w:rPr>
                <w:color w:val="000000"/>
              </w:rPr>
              <w:t>GDD / GDDs</w:t>
            </w:r>
          </w:p>
        </w:tc>
        <w:tc>
          <w:tcPr>
            <w:tcW w:w="0" w:type="auto"/>
            <w:vAlign w:val="center"/>
            <w:hideMark/>
          </w:tcPr>
          <w:p w14:paraId="055E9AF7" w14:textId="77777777" w:rsidR="00B037BE" w:rsidRDefault="00B037BE" w:rsidP="003A0B82">
            <w:pPr>
              <w:spacing w:line="360" w:lineRule="auto"/>
              <w:jc w:val="both"/>
              <w:rPr>
                <w:color w:val="000000"/>
              </w:rPr>
            </w:pPr>
            <w:r>
              <w:rPr>
                <w:color w:val="000000"/>
              </w:rPr>
              <w:t>Glaucoma Drainage Device(s)</w:t>
            </w:r>
          </w:p>
        </w:tc>
      </w:tr>
      <w:tr w:rsidR="00B037BE" w14:paraId="7A8D0456" w14:textId="77777777">
        <w:trPr>
          <w:tblCellSpacing w:w="15" w:type="dxa"/>
        </w:trPr>
        <w:tc>
          <w:tcPr>
            <w:tcW w:w="0" w:type="auto"/>
            <w:vAlign w:val="center"/>
            <w:hideMark/>
          </w:tcPr>
          <w:p w14:paraId="3265D1D0" w14:textId="77777777" w:rsidR="00B037BE" w:rsidRDefault="00B037BE" w:rsidP="003A0B82">
            <w:pPr>
              <w:spacing w:line="360" w:lineRule="auto"/>
              <w:jc w:val="both"/>
              <w:rPr>
                <w:color w:val="000000"/>
              </w:rPr>
            </w:pPr>
            <w:r>
              <w:rPr>
                <w:color w:val="000000"/>
              </w:rPr>
              <w:t>IOP</w:t>
            </w:r>
          </w:p>
        </w:tc>
        <w:tc>
          <w:tcPr>
            <w:tcW w:w="0" w:type="auto"/>
            <w:vAlign w:val="center"/>
            <w:hideMark/>
          </w:tcPr>
          <w:p w14:paraId="072EF40E" w14:textId="77777777" w:rsidR="00B037BE" w:rsidRDefault="00B037BE" w:rsidP="003A0B82">
            <w:pPr>
              <w:spacing w:line="360" w:lineRule="auto"/>
              <w:jc w:val="both"/>
              <w:rPr>
                <w:color w:val="000000"/>
              </w:rPr>
            </w:pPr>
            <w:r>
              <w:rPr>
                <w:color w:val="000000"/>
              </w:rPr>
              <w:t>Intraocular Pressure</w:t>
            </w:r>
          </w:p>
        </w:tc>
      </w:tr>
      <w:tr w:rsidR="00B037BE" w14:paraId="7834BB7B" w14:textId="77777777">
        <w:trPr>
          <w:tblCellSpacing w:w="15" w:type="dxa"/>
        </w:trPr>
        <w:tc>
          <w:tcPr>
            <w:tcW w:w="0" w:type="auto"/>
            <w:vAlign w:val="center"/>
            <w:hideMark/>
          </w:tcPr>
          <w:p w14:paraId="0EEC5413" w14:textId="77777777" w:rsidR="00B037BE" w:rsidRDefault="00B037BE" w:rsidP="003A0B82">
            <w:pPr>
              <w:spacing w:line="360" w:lineRule="auto"/>
              <w:jc w:val="both"/>
              <w:rPr>
                <w:color w:val="000000"/>
              </w:rPr>
            </w:pPr>
            <w:r>
              <w:rPr>
                <w:color w:val="000000"/>
              </w:rPr>
              <w:t>LiGHT</w:t>
            </w:r>
          </w:p>
        </w:tc>
        <w:tc>
          <w:tcPr>
            <w:tcW w:w="0" w:type="auto"/>
            <w:vAlign w:val="center"/>
            <w:hideMark/>
          </w:tcPr>
          <w:p w14:paraId="1B62280F" w14:textId="77777777" w:rsidR="00B037BE" w:rsidRDefault="00B037BE" w:rsidP="003A0B82">
            <w:pPr>
              <w:spacing w:line="360" w:lineRule="auto"/>
              <w:jc w:val="both"/>
              <w:rPr>
                <w:color w:val="000000"/>
              </w:rPr>
            </w:pPr>
            <w:r>
              <w:rPr>
                <w:color w:val="000000"/>
              </w:rPr>
              <w:t>Laser in Glaucoma and Ocular Hypertension</w:t>
            </w:r>
          </w:p>
        </w:tc>
      </w:tr>
      <w:tr w:rsidR="00B037BE" w14:paraId="41B7A2AD" w14:textId="77777777">
        <w:trPr>
          <w:tblCellSpacing w:w="15" w:type="dxa"/>
        </w:trPr>
        <w:tc>
          <w:tcPr>
            <w:tcW w:w="0" w:type="auto"/>
            <w:vAlign w:val="center"/>
            <w:hideMark/>
          </w:tcPr>
          <w:p w14:paraId="1A095592" w14:textId="77777777" w:rsidR="00B037BE" w:rsidRDefault="00B037BE" w:rsidP="003A0B82">
            <w:pPr>
              <w:spacing w:line="360" w:lineRule="auto"/>
              <w:jc w:val="both"/>
              <w:rPr>
                <w:color w:val="000000"/>
              </w:rPr>
            </w:pPr>
            <w:r>
              <w:rPr>
                <w:color w:val="000000"/>
              </w:rPr>
              <w:t>MIFS</w:t>
            </w:r>
          </w:p>
        </w:tc>
        <w:tc>
          <w:tcPr>
            <w:tcW w:w="0" w:type="auto"/>
            <w:vAlign w:val="center"/>
            <w:hideMark/>
          </w:tcPr>
          <w:p w14:paraId="73248D7D" w14:textId="77777777" w:rsidR="00B037BE" w:rsidRDefault="00B037BE" w:rsidP="003A0B82">
            <w:pPr>
              <w:spacing w:line="360" w:lineRule="auto"/>
              <w:jc w:val="both"/>
              <w:rPr>
                <w:color w:val="000000"/>
              </w:rPr>
            </w:pPr>
            <w:r>
              <w:rPr>
                <w:color w:val="000000"/>
              </w:rPr>
              <w:t>Micro-Invasive Filtration Surgeries</w:t>
            </w:r>
          </w:p>
        </w:tc>
      </w:tr>
      <w:tr w:rsidR="00B037BE" w14:paraId="2EA3A24D" w14:textId="77777777">
        <w:trPr>
          <w:tblCellSpacing w:w="15" w:type="dxa"/>
        </w:trPr>
        <w:tc>
          <w:tcPr>
            <w:tcW w:w="0" w:type="auto"/>
            <w:vAlign w:val="center"/>
            <w:hideMark/>
          </w:tcPr>
          <w:p w14:paraId="3CE8A7CE" w14:textId="77777777" w:rsidR="00B037BE" w:rsidRDefault="00B037BE" w:rsidP="003A0B82">
            <w:pPr>
              <w:spacing w:line="360" w:lineRule="auto"/>
              <w:jc w:val="both"/>
              <w:rPr>
                <w:color w:val="000000"/>
              </w:rPr>
            </w:pPr>
            <w:r>
              <w:rPr>
                <w:color w:val="000000"/>
              </w:rPr>
              <w:t>MIGS</w:t>
            </w:r>
          </w:p>
        </w:tc>
        <w:tc>
          <w:tcPr>
            <w:tcW w:w="0" w:type="auto"/>
            <w:vAlign w:val="center"/>
            <w:hideMark/>
          </w:tcPr>
          <w:p w14:paraId="447A6553" w14:textId="77777777" w:rsidR="00B037BE" w:rsidRDefault="00B037BE" w:rsidP="003A0B82">
            <w:pPr>
              <w:spacing w:line="360" w:lineRule="auto"/>
              <w:jc w:val="both"/>
              <w:rPr>
                <w:color w:val="000000"/>
              </w:rPr>
            </w:pPr>
            <w:r>
              <w:rPr>
                <w:color w:val="000000"/>
              </w:rPr>
              <w:t>Minimally Invasive Glaucoma Surgeries</w:t>
            </w:r>
          </w:p>
        </w:tc>
      </w:tr>
      <w:tr w:rsidR="00B037BE" w14:paraId="056CD78B" w14:textId="77777777">
        <w:trPr>
          <w:tblCellSpacing w:w="15" w:type="dxa"/>
        </w:trPr>
        <w:tc>
          <w:tcPr>
            <w:tcW w:w="0" w:type="auto"/>
            <w:vAlign w:val="center"/>
            <w:hideMark/>
          </w:tcPr>
          <w:p w14:paraId="56963A70" w14:textId="77777777" w:rsidR="00B037BE" w:rsidRDefault="00B037BE" w:rsidP="003A0B82">
            <w:pPr>
              <w:spacing w:line="360" w:lineRule="auto"/>
              <w:jc w:val="both"/>
              <w:rPr>
                <w:color w:val="000000"/>
              </w:rPr>
            </w:pPr>
            <w:r>
              <w:rPr>
                <w:color w:val="000000"/>
              </w:rPr>
              <w:t>MMC</w:t>
            </w:r>
          </w:p>
        </w:tc>
        <w:tc>
          <w:tcPr>
            <w:tcW w:w="0" w:type="auto"/>
            <w:vAlign w:val="center"/>
            <w:hideMark/>
          </w:tcPr>
          <w:p w14:paraId="5C4CCC0D" w14:textId="77777777" w:rsidR="00B037BE" w:rsidRDefault="00B037BE" w:rsidP="003A0B82">
            <w:pPr>
              <w:spacing w:line="360" w:lineRule="auto"/>
              <w:jc w:val="both"/>
              <w:rPr>
                <w:color w:val="000000"/>
              </w:rPr>
            </w:pPr>
            <w:r>
              <w:rPr>
                <w:color w:val="000000"/>
              </w:rPr>
              <w:t>Mitomycin C</w:t>
            </w:r>
          </w:p>
        </w:tc>
      </w:tr>
      <w:tr w:rsidR="00B037BE" w14:paraId="579509ED" w14:textId="77777777">
        <w:trPr>
          <w:tblCellSpacing w:w="15" w:type="dxa"/>
        </w:trPr>
        <w:tc>
          <w:tcPr>
            <w:tcW w:w="0" w:type="auto"/>
            <w:vAlign w:val="center"/>
            <w:hideMark/>
          </w:tcPr>
          <w:p w14:paraId="3B9599E8" w14:textId="77777777" w:rsidR="00B037BE" w:rsidRDefault="00B037BE" w:rsidP="003A0B82">
            <w:pPr>
              <w:spacing w:line="360" w:lineRule="auto"/>
              <w:jc w:val="both"/>
              <w:rPr>
                <w:color w:val="000000"/>
              </w:rPr>
            </w:pPr>
            <w:r>
              <w:rPr>
                <w:color w:val="000000"/>
              </w:rPr>
              <w:t>MP-CPC</w:t>
            </w:r>
          </w:p>
        </w:tc>
        <w:tc>
          <w:tcPr>
            <w:tcW w:w="0" w:type="auto"/>
            <w:vAlign w:val="center"/>
            <w:hideMark/>
          </w:tcPr>
          <w:p w14:paraId="753E2BC6" w14:textId="77777777" w:rsidR="00B037BE" w:rsidRDefault="00B037BE" w:rsidP="003A0B82">
            <w:pPr>
              <w:spacing w:line="360" w:lineRule="auto"/>
              <w:jc w:val="both"/>
              <w:rPr>
                <w:color w:val="000000"/>
              </w:rPr>
            </w:pPr>
            <w:r>
              <w:rPr>
                <w:color w:val="000000"/>
              </w:rPr>
              <w:t>Micropulse Cyclophotocoagulation</w:t>
            </w:r>
          </w:p>
        </w:tc>
      </w:tr>
      <w:tr w:rsidR="00B037BE" w14:paraId="50E4F757" w14:textId="77777777">
        <w:trPr>
          <w:tblCellSpacing w:w="15" w:type="dxa"/>
        </w:trPr>
        <w:tc>
          <w:tcPr>
            <w:tcW w:w="0" w:type="auto"/>
            <w:vAlign w:val="center"/>
            <w:hideMark/>
          </w:tcPr>
          <w:p w14:paraId="0BAABF6A" w14:textId="77777777" w:rsidR="00B037BE" w:rsidRDefault="00B037BE" w:rsidP="003A0B82">
            <w:pPr>
              <w:spacing w:line="360" w:lineRule="auto"/>
              <w:jc w:val="both"/>
              <w:rPr>
                <w:color w:val="000000"/>
              </w:rPr>
            </w:pPr>
            <w:r>
              <w:rPr>
                <w:color w:val="000000"/>
              </w:rPr>
              <w:t>MP-TSCPC</w:t>
            </w:r>
          </w:p>
        </w:tc>
        <w:tc>
          <w:tcPr>
            <w:tcW w:w="0" w:type="auto"/>
            <w:vAlign w:val="center"/>
            <w:hideMark/>
          </w:tcPr>
          <w:p w14:paraId="307DF1B7" w14:textId="77777777" w:rsidR="00B037BE" w:rsidRDefault="00B037BE" w:rsidP="003A0B82">
            <w:pPr>
              <w:spacing w:line="360" w:lineRule="auto"/>
              <w:jc w:val="both"/>
              <w:rPr>
                <w:color w:val="000000"/>
              </w:rPr>
            </w:pPr>
            <w:r>
              <w:rPr>
                <w:color w:val="000000"/>
              </w:rPr>
              <w:t>Micropulse Transscleral Cyclophotocoagulation</w:t>
            </w:r>
          </w:p>
        </w:tc>
      </w:tr>
      <w:tr w:rsidR="00B037BE" w14:paraId="4A82099D" w14:textId="77777777">
        <w:trPr>
          <w:tblCellSpacing w:w="15" w:type="dxa"/>
        </w:trPr>
        <w:tc>
          <w:tcPr>
            <w:tcW w:w="0" w:type="auto"/>
            <w:vAlign w:val="center"/>
            <w:hideMark/>
          </w:tcPr>
          <w:p w14:paraId="7AF194DA" w14:textId="77777777" w:rsidR="00B037BE" w:rsidRDefault="00B037BE" w:rsidP="003A0B82">
            <w:pPr>
              <w:spacing w:line="360" w:lineRule="auto"/>
              <w:jc w:val="both"/>
              <w:rPr>
                <w:color w:val="000000"/>
              </w:rPr>
            </w:pPr>
            <w:r>
              <w:rPr>
                <w:color w:val="000000"/>
              </w:rPr>
              <w:t>Nd:YAG</w:t>
            </w:r>
          </w:p>
        </w:tc>
        <w:tc>
          <w:tcPr>
            <w:tcW w:w="0" w:type="auto"/>
            <w:vAlign w:val="center"/>
            <w:hideMark/>
          </w:tcPr>
          <w:p w14:paraId="20E85DA4" w14:textId="77777777" w:rsidR="00B037BE" w:rsidRDefault="00B037BE" w:rsidP="003A0B82">
            <w:pPr>
              <w:spacing w:line="360" w:lineRule="auto"/>
              <w:jc w:val="both"/>
              <w:rPr>
                <w:color w:val="000000"/>
              </w:rPr>
            </w:pPr>
            <w:r>
              <w:rPr>
                <w:color w:val="000000"/>
              </w:rPr>
              <w:t>Neodymium-doped Yttrium Aluminum Garnet</w:t>
            </w:r>
          </w:p>
        </w:tc>
      </w:tr>
      <w:tr w:rsidR="00B037BE" w14:paraId="039D6A6B" w14:textId="77777777">
        <w:trPr>
          <w:tblCellSpacing w:w="15" w:type="dxa"/>
        </w:trPr>
        <w:tc>
          <w:tcPr>
            <w:tcW w:w="0" w:type="auto"/>
            <w:vAlign w:val="center"/>
            <w:hideMark/>
          </w:tcPr>
          <w:p w14:paraId="79B7AC51" w14:textId="77777777" w:rsidR="00B037BE" w:rsidRDefault="00B037BE" w:rsidP="003A0B82">
            <w:pPr>
              <w:spacing w:line="360" w:lineRule="auto"/>
              <w:jc w:val="both"/>
              <w:rPr>
                <w:color w:val="000000"/>
              </w:rPr>
            </w:pPr>
            <w:r>
              <w:rPr>
                <w:color w:val="000000"/>
              </w:rPr>
              <w:t>PAS</w:t>
            </w:r>
          </w:p>
        </w:tc>
        <w:tc>
          <w:tcPr>
            <w:tcW w:w="0" w:type="auto"/>
            <w:vAlign w:val="center"/>
            <w:hideMark/>
          </w:tcPr>
          <w:p w14:paraId="165A88ED" w14:textId="77777777" w:rsidR="00B037BE" w:rsidRDefault="00B037BE" w:rsidP="003A0B82">
            <w:pPr>
              <w:spacing w:line="360" w:lineRule="auto"/>
              <w:jc w:val="both"/>
              <w:rPr>
                <w:color w:val="000000"/>
              </w:rPr>
            </w:pPr>
            <w:r>
              <w:rPr>
                <w:color w:val="000000"/>
              </w:rPr>
              <w:t>Peripheral Anterior Synechiae</w:t>
            </w:r>
          </w:p>
        </w:tc>
      </w:tr>
      <w:tr w:rsidR="00B037BE" w14:paraId="0975002C" w14:textId="77777777">
        <w:trPr>
          <w:tblCellSpacing w:w="15" w:type="dxa"/>
        </w:trPr>
        <w:tc>
          <w:tcPr>
            <w:tcW w:w="0" w:type="auto"/>
            <w:vAlign w:val="center"/>
            <w:hideMark/>
          </w:tcPr>
          <w:p w14:paraId="4908344E" w14:textId="77777777" w:rsidR="00B037BE" w:rsidRDefault="00B037BE" w:rsidP="003A0B82">
            <w:pPr>
              <w:spacing w:line="360" w:lineRule="auto"/>
              <w:jc w:val="both"/>
              <w:rPr>
                <w:color w:val="000000"/>
              </w:rPr>
            </w:pPr>
            <w:r>
              <w:rPr>
                <w:color w:val="000000"/>
              </w:rPr>
              <w:t>POAG</w:t>
            </w:r>
          </w:p>
        </w:tc>
        <w:tc>
          <w:tcPr>
            <w:tcW w:w="0" w:type="auto"/>
            <w:vAlign w:val="center"/>
            <w:hideMark/>
          </w:tcPr>
          <w:p w14:paraId="5ACB7F55" w14:textId="77777777" w:rsidR="00B037BE" w:rsidRDefault="00B037BE" w:rsidP="003A0B82">
            <w:pPr>
              <w:spacing w:line="360" w:lineRule="auto"/>
              <w:jc w:val="both"/>
              <w:rPr>
                <w:color w:val="000000"/>
              </w:rPr>
            </w:pPr>
            <w:r>
              <w:rPr>
                <w:color w:val="000000"/>
              </w:rPr>
              <w:t>Primary Open-Angle Glaucoma</w:t>
            </w:r>
          </w:p>
        </w:tc>
      </w:tr>
      <w:tr w:rsidR="00B037BE" w14:paraId="06263E04" w14:textId="77777777">
        <w:trPr>
          <w:tblCellSpacing w:w="15" w:type="dxa"/>
        </w:trPr>
        <w:tc>
          <w:tcPr>
            <w:tcW w:w="0" w:type="auto"/>
            <w:vAlign w:val="center"/>
            <w:hideMark/>
          </w:tcPr>
          <w:p w14:paraId="689448E9" w14:textId="77777777" w:rsidR="00B037BE" w:rsidRDefault="00B037BE" w:rsidP="003A0B82">
            <w:pPr>
              <w:spacing w:line="360" w:lineRule="auto"/>
              <w:jc w:val="both"/>
              <w:rPr>
                <w:color w:val="000000"/>
              </w:rPr>
            </w:pPr>
            <w:r>
              <w:rPr>
                <w:color w:val="000000"/>
              </w:rPr>
              <w:t>PTVT</w:t>
            </w:r>
          </w:p>
        </w:tc>
        <w:tc>
          <w:tcPr>
            <w:tcW w:w="0" w:type="auto"/>
            <w:vAlign w:val="center"/>
            <w:hideMark/>
          </w:tcPr>
          <w:p w14:paraId="1BBE03F0" w14:textId="77777777" w:rsidR="00B037BE" w:rsidRDefault="00B037BE" w:rsidP="003A0B82">
            <w:pPr>
              <w:spacing w:line="360" w:lineRule="auto"/>
              <w:jc w:val="both"/>
              <w:rPr>
                <w:color w:val="000000"/>
              </w:rPr>
            </w:pPr>
            <w:r>
              <w:rPr>
                <w:color w:val="000000"/>
              </w:rPr>
              <w:t>Primary Tube Versus Trabeculectomy</w:t>
            </w:r>
          </w:p>
        </w:tc>
      </w:tr>
      <w:tr w:rsidR="00B037BE" w14:paraId="5A4ED0B3" w14:textId="77777777">
        <w:trPr>
          <w:tblCellSpacing w:w="15" w:type="dxa"/>
        </w:trPr>
        <w:tc>
          <w:tcPr>
            <w:tcW w:w="0" w:type="auto"/>
            <w:vAlign w:val="center"/>
            <w:hideMark/>
          </w:tcPr>
          <w:p w14:paraId="0425C97E" w14:textId="77777777" w:rsidR="00B037BE" w:rsidRDefault="00B037BE" w:rsidP="003A0B82">
            <w:pPr>
              <w:spacing w:line="360" w:lineRule="auto"/>
              <w:jc w:val="both"/>
              <w:rPr>
                <w:color w:val="000000"/>
              </w:rPr>
            </w:pPr>
            <w:r>
              <w:rPr>
                <w:color w:val="000000"/>
              </w:rPr>
              <w:t>SIBS</w:t>
            </w:r>
          </w:p>
        </w:tc>
        <w:tc>
          <w:tcPr>
            <w:tcW w:w="0" w:type="auto"/>
            <w:vAlign w:val="center"/>
            <w:hideMark/>
          </w:tcPr>
          <w:p w14:paraId="38AF966E" w14:textId="77777777" w:rsidR="00B037BE" w:rsidRDefault="00B037BE" w:rsidP="003A0B82">
            <w:pPr>
              <w:spacing w:line="360" w:lineRule="auto"/>
              <w:jc w:val="both"/>
              <w:rPr>
                <w:color w:val="000000"/>
              </w:rPr>
            </w:pPr>
            <w:r>
              <w:rPr>
                <w:color w:val="000000"/>
              </w:rPr>
              <w:t>poly(styrene-block-isobutylene-block-styrene)</w:t>
            </w:r>
          </w:p>
        </w:tc>
      </w:tr>
      <w:tr w:rsidR="00B037BE" w14:paraId="006AD09F" w14:textId="77777777">
        <w:trPr>
          <w:tblCellSpacing w:w="15" w:type="dxa"/>
        </w:trPr>
        <w:tc>
          <w:tcPr>
            <w:tcW w:w="0" w:type="auto"/>
            <w:vAlign w:val="center"/>
            <w:hideMark/>
          </w:tcPr>
          <w:p w14:paraId="1CA94483" w14:textId="77777777" w:rsidR="00B037BE" w:rsidRDefault="00B037BE" w:rsidP="003A0B82">
            <w:pPr>
              <w:spacing w:line="360" w:lineRule="auto"/>
              <w:jc w:val="both"/>
              <w:rPr>
                <w:color w:val="000000"/>
              </w:rPr>
            </w:pPr>
            <w:r>
              <w:rPr>
                <w:color w:val="000000"/>
              </w:rPr>
              <w:lastRenderedPageBreak/>
              <w:t>SLT</w:t>
            </w:r>
          </w:p>
        </w:tc>
        <w:tc>
          <w:tcPr>
            <w:tcW w:w="0" w:type="auto"/>
            <w:vAlign w:val="center"/>
            <w:hideMark/>
          </w:tcPr>
          <w:p w14:paraId="24B61522" w14:textId="77777777" w:rsidR="00B037BE" w:rsidRDefault="00B037BE" w:rsidP="003A0B82">
            <w:pPr>
              <w:spacing w:line="360" w:lineRule="auto"/>
              <w:jc w:val="both"/>
              <w:rPr>
                <w:color w:val="000000"/>
              </w:rPr>
            </w:pPr>
            <w:r>
              <w:rPr>
                <w:color w:val="000000"/>
              </w:rPr>
              <w:t>Selective Laser Trabeculoplasty</w:t>
            </w:r>
          </w:p>
        </w:tc>
      </w:tr>
      <w:tr w:rsidR="00B037BE" w14:paraId="5B2B705D" w14:textId="77777777">
        <w:trPr>
          <w:tblCellSpacing w:w="15" w:type="dxa"/>
        </w:trPr>
        <w:tc>
          <w:tcPr>
            <w:tcW w:w="0" w:type="auto"/>
            <w:vAlign w:val="center"/>
            <w:hideMark/>
          </w:tcPr>
          <w:p w14:paraId="1CD221BB" w14:textId="77777777" w:rsidR="00B037BE" w:rsidRDefault="00B037BE" w:rsidP="003A0B82">
            <w:pPr>
              <w:spacing w:line="360" w:lineRule="auto"/>
              <w:jc w:val="both"/>
              <w:rPr>
                <w:color w:val="000000"/>
              </w:rPr>
            </w:pPr>
            <w:r>
              <w:rPr>
                <w:color w:val="000000"/>
              </w:rPr>
              <w:t>TDM</w:t>
            </w:r>
          </w:p>
        </w:tc>
        <w:tc>
          <w:tcPr>
            <w:tcW w:w="0" w:type="auto"/>
            <w:vAlign w:val="center"/>
            <w:hideMark/>
          </w:tcPr>
          <w:p w14:paraId="4464BEBA" w14:textId="77777777" w:rsidR="00B037BE" w:rsidRDefault="00B037BE" w:rsidP="003A0B82">
            <w:pPr>
              <w:spacing w:line="360" w:lineRule="auto"/>
              <w:jc w:val="both"/>
              <w:rPr>
                <w:color w:val="000000"/>
              </w:rPr>
            </w:pPr>
            <w:r>
              <w:rPr>
                <w:color w:val="000000"/>
              </w:rPr>
              <w:t>Trabeculo-Descemet Membrane</w:t>
            </w:r>
          </w:p>
        </w:tc>
      </w:tr>
      <w:tr w:rsidR="00B037BE" w14:paraId="690C0377" w14:textId="77777777">
        <w:trPr>
          <w:tblCellSpacing w:w="15" w:type="dxa"/>
        </w:trPr>
        <w:tc>
          <w:tcPr>
            <w:tcW w:w="0" w:type="auto"/>
            <w:vAlign w:val="center"/>
            <w:hideMark/>
          </w:tcPr>
          <w:p w14:paraId="2C828850" w14:textId="77777777" w:rsidR="00B037BE" w:rsidRDefault="00B037BE" w:rsidP="003A0B82">
            <w:pPr>
              <w:spacing w:line="360" w:lineRule="auto"/>
              <w:jc w:val="both"/>
              <w:rPr>
                <w:color w:val="000000"/>
              </w:rPr>
            </w:pPr>
            <w:r>
              <w:rPr>
                <w:color w:val="000000"/>
              </w:rPr>
              <w:t>TM</w:t>
            </w:r>
          </w:p>
        </w:tc>
        <w:tc>
          <w:tcPr>
            <w:tcW w:w="0" w:type="auto"/>
            <w:vAlign w:val="center"/>
            <w:hideMark/>
          </w:tcPr>
          <w:p w14:paraId="26B42773" w14:textId="77777777" w:rsidR="00B037BE" w:rsidRDefault="00B037BE" w:rsidP="003A0B82">
            <w:pPr>
              <w:spacing w:line="360" w:lineRule="auto"/>
              <w:jc w:val="both"/>
              <w:rPr>
                <w:color w:val="000000"/>
              </w:rPr>
            </w:pPr>
            <w:r>
              <w:rPr>
                <w:color w:val="000000"/>
              </w:rPr>
              <w:t>Trabecular Meshwork</w:t>
            </w:r>
          </w:p>
        </w:tc>
      </w:tr>
      <w:tr w:rsidR="00B037BE" w14:paraId="2C2CEC76" w14:textId="77777777">
        <w:trPr>
          <w:tblCellSpacing w:w="15" w:type="dxa"/>
        </w:trPr>
        <w:tc>
          <w:tcPr>
            <w:tcW w:w="0" w:type="auto"/>
            <w:vAlign w:val="center"/>
            <w:hideMark/>
          </w:tcPr>
          <w:p w14:paraId="0CEDDEA6" w14:textId="77777777" w:rsidR="00B037BE" w:rsidRDefault="00B037BE" w:rsidP="003A0B82">
            <w:pPr>
              <w:spacing w:line="360" w:lineRule="auto"/>
              <w:jc w:val="both"/>
              <w:rPr>
                <w:color w:val="000000"/>
              </w:rPr>
            </w:pPr>
            <w:r>
              <w:rPr>
                <w:color w:val="000000"/>
              </w:rPr>
              <w:t>Trab</w:t>
            </w:r>
          </w:p>
        </w:tc>
        <w:tc>
          <w:tcPr>
            <w:tcW w:w="0" w:type="auto"/>
            <w:vAlign w:val="center"/>
            <w:hideMark/>
          </w:tcPr>
          <w:p w14:paraId="1C8347CB" w14:textId="77777777" w:rsidR="00B037BE" w:rsidRDefault="00B037BE" w:rsidP="003A0B82">
            <w:pPr>
              <w:spacing w:line="360" w:lineRule="auto"/>
              <w:jc w:val="both"/>
              <w:rPr>
                <w:color w:val="000000"/>
              </w:rPr>
            </w:pPr>
            <w:r>
              <w:rPr>
                <w:color w:val="000000"/>
              </w:rPr>
              <w:t>Trabeculectomy</w:t>
            </w:r>
          </w:p>
        </w:tc>
      </w:tr>
      <w:tr w:rsidR="00B037BE" w14:paraId="60A689A9" w14:textId="77777777">
        <w:trPr>
          <w:tblCellSpacing w:w="15" w:type="dxa"/>
        </w:trPr>
        <w:tc>
          <w:tcPr>
            <w:tcW w:w="0" w:type="auto"/>
            <w:vAlign w:val="center"/>
            <w:hideMark/>
          </w:tcPr>
          <w:p w14:paraId="5278326C" w14:textId="77777777" w:rsidR="00B037BE" w:rsidRDefault="00B037BE" w:rsidP="003A0B82">
            <w:pPr>
              <w:spacing w:line="360" w:lineRule="auto"/>
              <w:jc w:val="both"/>
              <w:rPr>
                <w:color w:val="000000"/>
              </w:rPr>
            </w:pPr>
            <w:r>
              <w:rPr>
                <w:color w:val="000000"/>
              </w:rPr>
              <w:t>TS-CPC</w:t>
            </w:r>
          </w:p>
        </w:tc>
        <w:tc>
          <w:tcPr>
            <w:tcW w:w="0" w:type="auto"/>
            <w:vAlign w:val="center"/>
            <w:hideMark/>
          </w:tcPr>
          <w:p w14:paraId="683344FB" w14:textId="77777777" w:rsidR="00B037BE" w:rsidRDefault="00B037BE" w:rsidP="003A0B82">
            <w:pPr>
              <w:spacing w:line="360" w:lineRule="auto"/>
              <w:jc w:val="both"/>
              <w:rPr>
                <w:color w:val="000000"/>
              </w:rPr>
            </w:pPr>
            <w:r>
              <w:rPr>
                <w:color w:val="000000"/>
              </w:rPr>
              <w:t>Transscleral Cyclophotocoagulation</w:t>
            </w:r>
          </w:p>
        </w:tc>
      </w:tr>
    </w:tbl>
    <w:p w14:paraId="21B7F3D7" w14:textId="77777777" w:rsidR="00735D56" w:rsidRDefault="00735D56" w:rsidP="009537EE">
      <w:pPr>
        <w:rPr>
          <w:b/>
          <w:bCs/>
        </w:rPr>
      </w:pPr>
    </w:p>
    <w:p w14:paraId="451F1E3B" w14:textId="77777777" w:rsidR="00735D56" w:rsidRDefault="00735D56" w:rsidP="009948CA">
      <w:pPr>
        <w:rPr>
          <w:b/>
          <w:bCs/>
        </w:rPr>
      </w:pPr>
    </w:p>
    <w:p w14:paraId="4773D158" w14:textId="77777777" w:rsidR="00735D56" w:rsidRDefault="00735D56" w:rsidP="009537EE">
      <w:pPr>
        <w:rPr>
          <w:b/>
          <w:bCs/>
        </w:rPr>
      </w:pPr>
    </w:p>
    <w:p w14:paraId="385C6D00" w14:textId="77777777" w:rsidR="00282D38" w:rsidRDefault="00282D38" w:rsidP="009537EE">
      <w:pPr>
        <w:rPr>
          <w:b/>
          <w:bCs/>
        </w:rPr>
      </w:pPr>
    </w:p>
    <w:p w14:paraId="2366BE54" w14:textId="77777777" w:rsidR="00282D38" w:rsidRDefault="00282D38" w:rsidP="009537EE">
      <w:pPr>
        <w:rPr>
          <w:b/>
          <w:bCs/>
        </w:rPr>
      </w:pPr>
    </w:p>
    <w:p w14:paraId="1E0F5F17" w14:textId="77777777" w:rsidR="00282D38" w:rsidRDefault="00282D38" w:rsidP="009537EE">
      <w:pPr>
        <w:rPr>
          <w:b/>
          <w:bCs/>
        </w:rPr>
      </w:pPr>
    </w:p>
    <w:p w14:paraId="2E882DD4" w14:textId="77777777" w:rsidR="00282D38" w:rsidRDefault="00282D38" w:rsidP="009537EE">
      <w:pPr>
        <w:rPr>
          <w:b/>
          <w:bCs/>
        </w:rPr>
      </w:pPr>
    </w:p>
    <w:p w14:paraId="70C9B9E6" w14:textId="77777777" w:rsidR="00735D56" w:rsidRDefault="00735D56" w:rsidP="009537EE">
      <w:pPr>
        <w:rPr>
          <w:b/>
          <w:bCs/>
        </w:rPr>
      </w:pPr>
    </w:p>
    <w:p w14:paraId="5504FA92" w14:textId="77777777" w:rsidR="003A0B82" w:rsidRDefault="003A0B82" w:rsidP="009537EE">
      <w:pPr>
        <w:rPr>
          <w:b/>
          <w:bCs/>
        </w:rPr>
      </w:pPr>
    </w:p>
    <w:p w14:paraId="1252805F" w14:textId="77777777" w:rsidR="003A0B82" w:rsidRDefault="003A0B82" w:rsidP="009537EE">
      <w:pPr>
        <w:rPr>
          <w:b/>
          <w:bCs/>
        </w:rPr>
      </w:pPr>
    </w:p>
    <w:p w14:paraId="3D93FBE7" w14:textId="77777777" w:rsidR="003A0B82" w:rsidRDefault="003A0B82" w:rsidP="009537EE">
      <w:pPr>
        <w:rPr>
          <w:b/>
          <w:bCs/>
        </w:rPr>
      </w:pPr>
    </w:p>
    <w:p w14:paraId="65DEE5A8" w14:textId="77777777" w:rsidR="003A0B82" w:rsidRDefault="003A0B82" w:rsidP="009537EE">
      <w:pPr>
        <w:rPr>
          <w:b/>
          <w:bCs/>
        </w:rPr>
      </w:pPr>
    </w:p>
    <w:p w14:paraId="07DA7F4D" w14:textId="77777777" w:rsidR="003A0B82" w:rsidRDefault="003A0B82" w:rsidP="009537EE">
      <w:pPr>
        <w:rPr>
          <w:b/>
          <w:bCs/>
        </w:rPr>
      </w:pPr>
    </w:p>
    <w:p w14:paraId="482B235D" w14:textId="77777777" w:rsidR="003A0B82" w:rsidRDefault="003A0B82" w:rsidP="009537EE">
      <w:pPr>
        <w:rPr>
          <w:b/>
          <w:bCs/>
        </w:rPr>
      </w:pPr>
    </w:p>
    <w:p w14:paraId="0B2C65AA" w14:textId="77777777" w:rsidR="003A0B82" w:rsidRDefault="003A0B82" w:rsidP="009537EE">
      <w:pPr>
        <w:rPr>
          <w:b/>
          <w:bCs/>
        </w:rPr>
      </w:pPr>
    </w:p>
    <w:p w14:paraId="0CC6162D" w14:textId="77777777" w:rsidR="003A0B82" w:rsidRDefault="003A0B82" w:rsidP="009537EE">
      <w:pPr>
        <w:rPr>
          <w:b/>
          <w:bCs/>
        </w:rPr>
      </w:pPr>
    </w:p>
    <w:p w14:paraId="03BC43D8" w14:textId="77777777" w:rsidR="003A0B82" w:rsidRDefault="003A0B82" w:rsidP="009537EE">
      <w:pPr>
        <w:rPr>
          <w:b/>
          <w:bCs/>
        </w:rPr>
      </w:pPr>
    </w:p>
    <w:p w14:paraId="16C501EA" w14:textId="77777777" w:rsidR="003A0B82" w:rsidRDefault="003A0B82" w:rsidP="009537EE">
      <w:pPr>
        <w:rPr>
          <w:b/>
          <w:bCs/>
        </w:rPr>
      </w:pPr>
    </w:p>
    <w:p w14:paraId="23FC63B9" w14:textId="77777777" w:rsidR="003A0B82" w:rsidRDefault="003A0B82" w:rsidP="009537EE">
      <w:pPr>
        <w:rPr>
          <w:b/>
          <w:bCs/>
        </w:rPr>
      </w:pPr>
    </w:p>
    <w:p w14:paraId="6C0DC305" w14:textId="77777777" w:rsidR="003A0B82" w:rsidRDefault="003A0B82" w:rsidP="009537EE">
      <w:pPr>
        <w:rPr>
          <w:b/>
          <w:bCs/>
        </w:rPr>
      </w:pPr>
    </w:p>
    <w:p w14:paraId="743504E0" w14:textId="77777777" w:rsidR="003A0B82" w:rsidRDefault="003A0B82" w:rsidP="009537EE">
      <w:pPr>
        <w:rPr>
          <w:b/>
          <w:bCs/>
        </w:rPr>
      </w:pPr>
    </w:p>
    <w:p w14:paraId="3E819A9E" w14:textId="77777777" w:rsidR="003A0B82" w:rsidRDefault="003A0B82" w:rsidP="009537EE">
      <w:pPr>
        <w:rPr>
          <w:b/>
          <w:bCs/>
        </w:rPr>
      </w:pPr>
    </w:p>
    <w:p w14:paraId="0D5CF960" w14:textId="77777777" w:rsidR="003A0B82" w:rsidRDefault="003A0B82" w:rsidP="009537EE">
      <w:pPr>
        <w:rPr>
          <w:b/>
          <w:bCs/>
        </w:rPr>
      </w:pPr>
    </w:p>
    <w:p w14:paraId="64D58D2A" w14:textId="77777777" w:rsidR="003A0B82" w:rsidRDefault="003A0B82" w:rsidP="009537EE">
      <w:pPr>
        <w:rPr>
          <w:b/>
          <w:bCs/>
        </w:rPr>
      </w:pPr>
    </w:p>
    <w:p w14:paraId="51A946D9" w14:textId="77777777" w:rsidR="003A0B82" w:rsidRDefault="003A0B82" w:rsidP="009537EE">
      <w:pPr>
        <w:rPr>
          <w:b/>
          <w:bCs/>
        </w:rPr>
      </w:pPr>
    </w:p>
    <w:p w14:paraId="05E402E7" w14:textId="77777777" w:rsidR="003A0B82" w:rsidRDefault="003A0B82" w:rsidP="009537EE">
      <w:pPr>
        <w:rPr>
          <w:b/>
          <w:bCs/>
        </w:rPr>
      </w:pPr>
    </w:p>
    <w:p w14:paraId="762AE3D7" w14:textId="77777777" w:rsidR="003A0B82" w:rsidRDefault="003A0B82" w:rsidP="009537EE">
      <w:pPr>
        <w:rPr>
          <w:b/>
          <w:bCs/>
        </w:rPr>
      </w:pPr>
    </w:p>
    <w:p w14:paraId="7FA8F4FA" w14:textId="77777777" w:rsidR="003A0B82" w:rsidRDefault="003A0B82" w:rsidP="009537EE">
      <w:pPr>
        <w:rPr>
          <w:b/>
          <w:bCs/>
        </w:rPr>
      </w:pPr>
    </w:p>
    <w:p w14:paraId="7CB0742B" w14:textId="77777777" w:rsidR="003A0B82" w:rsidRDefault="003A0B82" w:rsidP="009537EE">
      <w:pPr>
        <w:rPr>
          <w:b/>
          <w:bCs/>
        </w:rPr>
      </w:pPr>
    </w:p>
    <w:p w14:paraId="0C7F2DFC" w14:textId="77777777" w:rsidR="003A0B82" w:rsidRDefault="003A0B82" w:rsidP="009537EE">
      <w:pPr>
        <w:rPr>
          <w:b/>
          <w:bCs/>
        </w:rPr>
      </w:pPr>
    </w:p>
    <w:p w14:paraId="43B849FA" w14:textId="77777777" w:rsidR="003A0B82" w:rsidRDefault="003A0B82" w:rsidP="009537EE">
      <w:pPr>
        <w:rPr>
          <w:b/>
          <w:bCs/>
        </w:rPr>
      </w:pPr>
    </w:p>
    <w:p w14:paraId="25E35A8F" w14:textId="77777777" w:rsidR="003A0B82" w:rsidRDefault="003A0B82" w:rsidP="009537EE">
      <w:pPr>
        <w:rPr>
          <w:b/>
          <w:bCs/>
        </w:rPr>
      </w:pPr>
    </w:p>
    <w:p w14:paraId="48D251F2" w14:textId="77777777" w:rsidR="003A0B82" w:rsidRDefault="003A0B82" w:rsidP="009537EE">
      <w:pPr>
        <w:rPr>
          <w:b/>
          <w:bCs/>
        </w:rPr>
      </w:pPr>
    </w:p>
    <w:p w14:paraId="2AE72123" w14:textId="77777777" w:rsidR="003A0B82" w:rsidRDefault="003A0B82" w:rsidP="009537EE">
      <w:pPr>
        <w:rPr>
          <w:b/>
          <w:bCs/>
        </w:rPr>
      </w:pPr>
    </w:p>
    <w:p w14:paraId="0F65F96E" w14:textId="77777777" w:rsidR="003A0B82" w:rsidRDefault="003A0B82" w:rsidP="009537EE">
      <w:pPr>
        <w:rPr>
          <w:b/>
          <w:bCs/>
        </w:rPr>
      </w:pPr>
    </w:p>
    <w:p w14:paraId="6FE4F660" w14:textId="77777777" w:rsidR="003A0B82" w:rsidRDefault="003A0B82" w:rsidP="009537EE">
      <w:pPr>
        <w:rPr>
          <w:b/>
          <w:bCs/>
        </w:rPr>
      </w:pPr>
    </w:p>
    <w:p w14:paraId="7112854A" w14:textId="77777777" w:rsidR="003A0B82" w:rsidRDefault="003A0B82" w:rsidP="009537EE">
      <w:pPr>
        <w:rPr>
          <w:b/>
          <w:bCs/>
        </w:rPr>
      </w:pPr>
    </w:p>
    <w:p w14:paraId="784A1536" w14:textId="77777777" w:rsidR="00735D56" w:rsidRDefault="00735D56" w:rsidP="009537EE">
      <w:pPr>
        <w:rPr>
          <w:b/>
          <w:bCs/>
        </w:rPr>
      </w:pPr>
    </w:p>
    <w:p w14:paraId="16308927" w14:textId="41AF24B6" w:rsidR="00BE7129" w:rsidRDefault="00BE7129" w:rsidP="003A0B82">
      <w:pPr>
        <w:pStyle w:val="Heading1"/>
        <w:ind w:right="0"/>
      </w:pPr>
      <w:bookmarkStart w:id="4" w:name="_Toc160121434"/>
      <w:bookmarkStart w:id="5" w:name="_Toc213182566"/>
      <w:r>
        <w:lastRenderedPageBreak/>
        <w:t>INTRODUCTION</w:t>
      </w:r>
      <w:bookmarkEnd w:id="4"/>
      <w:bookmarkEnd w:id="5"/>
    </w:p>
    <w:p w14:paraId="107744F0" w14:textId="48B569B9" w:rsidR="00D72D8C" w:rsidRDefault="003A58D4" w:rsidP="00C04E2A">
      <w:pPr>
        <w:spacing w:line="360" w:lineRule="auto"/>
        <w:jc w:val="both"/>
      </w:pPr>
      <w:bookmarkStart w:id="6" w:name="_40sp6bhnhrri"/>
      <w:bookmarkEnd w:id="6"/>
      <w:r w:rsidRPr="003A58D4">
        <w:t>Primary Open-Angle Glaucoma (POAG)</w:t>
      </w:r>
      <w:r w:rsidR="00D47BB8">
        <w:t xml:space="preserve"> </w:t>
      </w:r>
      <w:r w:rsidR="00282D38">
        <w:t xml:space="preserve">is </w:t>
      </w:r>
      <w:r w:rsidR="00735D56">
        <w:t>character</w:t>
      </w:r>
      <w:r w:rsidR="00282D38">
        <w:t>ized by</w:t>
      </w:r>
      <w:r w:rsidR="00D47BB8">
        <w:t xml:space="preserve"> a </w:t>
      </w:r>
      <w:r w:rsidRPr="003A58D4">
        <w:t xml:space="preserve">chronic progressive optic neuropathy </w:t>
      </w:r>
      <w:r w:rsidR="00312730">
        <w:fldChar w:fldCharType="begin"/>
      </w:r>
      <w:r w:rsidR="00C140F1">
        <w:instrText xml:space="preserve"> ADDIN ZOTERO_ITEM CSL_CITATION {"citationID":"t09FJleU","properties":{"formattedCitation":"(Weinreb et al., 2014, p. 201)","plainCitation":"(Weinreb et al., 2014, p. 201)","noteIndex":0},"citationItems":[{"id":1515,"uris":["http://zotero.org/users/15573016/items/6IR34Y6U"],"itemData":{"id":1515,"type":"article-journal","container-title":"JAMA","DOI":"10.1001/jama.2014.3192","ISSN":"0098-7484","issue":"18","journalAbbreviation":"JAMA","language":"en","page":"1901","source":"DOI.org (Crossref)","title":"The Pathophysiology and Treatment of Glaucoma: A Review","title-short":"The Pathophysiology and Treatment of Glaucoma","URL":"http://jama.jamanetwork.com/article.aspx?doi=10.1001/jama.2014.3192","volume":"311","author":[{"family":"Weinreb","given":"Robert N."},{"family":"Aung","given":"Tin"},{"family":"Medeiros","given":"Felipe A."}],"accessed":{"date-parts":[["2025",6,17]]},"issued":{"date-parts":[["2014",5,14]]},"citation-key":"weinreb2014"},"locator":"201"}],"schema":"https://github.com/citation-style-language/schema/raw/master/csl-citation.json"} </w:instrText>
      </w:r>
      <w:r w:rsidR="00312730">
        <w:fldChar w:fldCharType="separate"/>
      </w:r>
      <w:r w:rsidR="009D2F69">
        <w:rPr>
          <w:noProof/>
        </w:rPr>
        <w:t>(Weinreb et al., 2014, p. 201)</w:t>
      </w:r>
      <w:r w:rsidR="00312730">
        <w:fldChar w:fldCharType="end"/>
      </w:r>
      <w:r w:rsidR="00D47BB8">
        <w:t xml:space="preserve">. It </w:t>
      </w:r>
      <w:r w:rsidRPr="003A58D4">
        <w:t xml:space="preserve">has been </w:t>
      </w:r>
      <w:r w:rsidR="00D47BB8">
        <w:t>described</w:t>
      </w:r>
      <w:r w:rsidR="00282D38">
        <w:t xml:space="preserve"> in the literature</w:t>
      </w:r>
      <w:r w:rsidRPr="003A58D4">
        <w:t xml:space="preserve"> as a primary cause of irreversible blindness worldwide</w:t>
      </w:r>
      <w:r w:rsidR="009D2F69">
        <w:t xml:space="preserve"> </w:t>
      </w:r>
      <w:r w:rsidR="009D2F69">
        <w:fldChar w:fldCharType="begin"/>
      </w:r>
      <w:r w:rsidR="00C140F1">
        <w:instrText xml:space="preserve"> ADDIN ZOTERO_ITEM CSL_CITATION {"citationID":"nb1pQnlk","properties":{"formattedCitation":"(Tham et al., 2014)","plainCitation":"(Tham et al., 2014)","noteIndex":0},"citationItems":[{"id":407,"uris":["http://zotero.org/users/15573016/items/KKQH6TYL"],"itemData":{"id":407,"type":"article-journal","container-title":"Ophthalmology","DOI":"10.1016/j.ophtha.2014.05.013","ISSN":"01616420","issue":"11","journalAbbreviation":"Ophthalmology","language":"en","license":"https://www.elsevier.com/tdm/userlicense/1.0/","page":"2081-2090","source":"DOI.org (Crossref)","title":"Global Prevalence of Glaucoma and Projections of Glaucoma Burden through 2040","URL":"https://linkinghub.elsevier.com/retrieve/pii/S0161642014004333","volume":"121","author":[{"family":"Tham","given":"Yih-Chung"},{"family":"Li","given":"Xiang"},{"family":"Wong","given":"Tien Y."},{"family":"Quigley","given":"Harry A."},{"family":"Aung","given":"Tin"},{"family":"Cheng","given":"Ching-Yu"}],"accessed":{"date-parts":[["2025",2,5]]},"issued":{"date-parts":[["2014",11]]},"citation-key":"tham2014"}}],"schema":"https://github.com/citation-style-language/schema/raw/master/csl-citation.json"} </w:instrText>
      </w:r>
      <w:r w:rsidR="009D2F69">
        <w:fldChar w:fldCharType="separate"/>
      </w:r>
      <w:r w:rsidR="009D2F69">
        <w:rPr>
          <w:noProof/>
        </w:rPr>
        <w:t>(Tham et al., 2014)</w:t>
      </w:r>
      <w:r w:rsidR="009D2F69">
        <w:fldChar w:fldCharType="end"/>
      </w:r>
      <w:r w:rsidRPr="003A58D4">
        <w:t xml:space="preserve">. The global prevalence of POAG </w:t>
      </w:r>
      <w:r w:rsidR="00282D38">
        <w:t>was</w:t>
      </w:r>
      <w:r w:rsidRPr="003A58D4">
        <w:t xml:space="preserve"> estimated at 2.4%</w:t>
      </w:r>
      <w:r w:rsidR="00A07851">
        <w:t xml:space="preserve"> over 20 years (2000-2020)</w:t>
      </w:r>
      <w:r w:rsidRPr="003A58D4">
        <w:t xml:space="preserve">, with the highest prevalence in Africa at 4.0% </w:t>
      </w:r>
      <w:r w:rsidR="009D2F69">
        <w:fldChar w:fldCharType="begin"/>
      </w:r>
      <w:r w:rsidR="00C140F1">
        <w:instrText xml:space="preserve"> ADDIN ZOTERO_ITEM CSL_CITATION {"citationID":"2FGYttnU","properties":{"formattedCitation":"(Zhang et al., 2021)","plainCitation":"(Zhang et al., 2021)","noteIndex":0},"citationItems":[{"id":399,"uris":["http://zotero.org/users/15573016/items/5FD6HPI9"],"itemData":{"id":399,"type":"article-journal","abstract":"Abstract\n            Primary open-angle glaucoma (POAG) is a leading cause of irreversible blindness in the world and is influenced by various sociodemographic factors. This meta-analysis aims to determine the worldwide prevalence of POAG in the adult general population for the last 20 years, and explore variation in prevalence by age, gender and geographical location. An electronic literature search was performed using the PubMed, Embase, and Web of Science databases. Population-based cross-sectional or cohort studies published in the last 20 years (2000–2020) that reported prevalence of POAG were recruited. Relevant studies meeting defined eligibility criteria were selected and reviewed systematically by meta-analysis. The prevalence of POAG was analyzed according to various risk factors. A random effect model was used for the meta-analysis. Fifty publications with a total of 198,259 subjects were included in this meta-analysis. The worldwide overall prevalence of POAG was 2.4% (95% CI 2.0 ~ 2.8%). The prevalence increases with age. Men are found to be more susceptible to POAG than women (RR 1.28, p &lt; 0.01). Africa is found to have the highest prevalence of POAG (4.0%) among all continents. The current estimated global population of POAG is 68.56 million (95% CI 59.99 ~ 79.98). POAG is a worldwide vision threatening disease with high prevalence for the last 20 years. The population-based prevalence of POAG varies widely across individual studies, due to variations in risk factors of age, gender, and population geographic location.","container-title":"Scientific Reports","DOI":"10.1038/s41598-021-92971-w","ISSN":"2045-2322","issue":"1","journalAbbreviation":"Sci Rep","language":"en","page":"13762","source":"DOI.org (Crossref)","title":"Prevalence of primary open angle glaucoma in the last 20 years: a meta-analysis and systematic review","title-short":"Prevalence of primary open angle glaucoma in the last 20 years","URL":"https://www.nature.com/articles/s41598-021-92971-w","volume":"11","author":[{"family":"Zhang","given":"Nan"},{"family":"Wang","given":"Jiaxing"},{"family":"Li","given":"Ying"},{"family":"Jiang","given":"Bing"}],"accessed":{"date-parts":[["2025",2,4]]},"issued":{"date-parts":[["2021",7,2]]},"citation-key":"zhang2021"}}],"schema":"https://github.com/citation-style-language/schema/raw/master/csl-citation.json"} </w:instrText>
      </w:r>
      <w:r w:rsidR="009D2F69">
        <w:fldChar w:fldCharType="separate"/>
      </w:r>
      <w:r w:rsidR="009D2F69">
        <w:rPr>
          <w:noProof/>
        </w:rPr>
        <w:t>(Zhang et al., 2021)</w:t>
      </w:r>
      <w:r w:rsidR="009D2F69">
        <w:fldChar w:fldCharType="end"/>
      </w:r>
      <w:r w:rsidRPr="003A58D4">
        <w:t>.</w:t>
      </w:r>
      <w:r w:rsidR="009D2F69">
        <w:t xml:space="preserve"> </w:t>
      </w:r>
      <w:r w:rsidR="00282D38">
        <w:t xml:space="preserve">A study by </w:t>
      </w:r>
      <w:r w:rsidRPr="003A58D4">
        <w:t>Tham et al. report</w:t>
      </w:r>
      <w:r w:rsidR="00282D38">
        <w:t>ed</w:t>
      </w:r>
      <w:r w:rsidRPr="003A58D4">
        <w:t xml:space="preserve"> that, globally, approximately 64.3 million people aged 40 to 80 </w:t>
      </w:r>
      <w:r w:rsidR="00282D38">
        <w:t>suffered from</w:t>
      </w:r>
      <w:r w:rsidRPr="003A58D4">
        <w:t xml:space="preserve"> glaucoma in 2013</w:t>
      </w:r>
      <w:r w:rsidR="00282D38">
        <w:t>. Moreover, this study</w:t>
      </w:r>
      <w:r w:rsidRPr="003A58D4">
        <w:t xml:space="preserve"> estimated that the disease prevalence would increase to 76.0 million in 2020. The study further projected an increase to 111.8 million by 2040</w:t>
      </w:r>
      <w:r w:rsidR="009D2F69">
        <w:t xml:space="preserve"> </w:t>
      </w:r>
      <w:r w:rsidR="009D2F69">
        <w:fldChar w:fldCharType="begin"/>
      </w:r>
      <w:r w:rsidR="00C140F1">
        <w:instrText xml:space="preserve"> ADDIN ZOTERO_ITEM CSL_CITATION {"citationID":"V0NsuWuy","properties":{"formattedCitation":"(Tham et al., 2014)","plainCitation":"(Tham et al., 2014)","noteIndex":0},"citationItems":[{"id":407,"uris":["http://zotero.org/users/15573016/items/KKQH6TYL"],"itemData":{"id":407,"type":"article-journal","container-title":"Ophthalmology","DOI":"10.1016/j.ophtha.2014.05.013","ISSN":"01616420","issue":"11","journalAbbreviation":"Ophthalmology","language":"en","license":"https://www.elsevier.com/tdm/userlicense/1.0/","page":"2081-2090","source":"DOI.org (Crossref)","title":"Global Prevalence of Glaucoma and Projections of Glaucoma Burden through 2040","URL":"https://linkinghub.elsevier.com/retrieve/pii/S0161642014004333","volume":"121","author":[{"family":"Tham","given":"Yih-Chung"},{"family":"Li","given":"Xiang"},{"family":"Wong","given":"Tien Y."},{"family":"Quigley","given":"Harry A."},{"family":"Aung","given":"Tin"},{"family":"Cheng","given":"Ching-Yu"}],"accessed":{"date-parts":[["2025",2,5]]},"issued":{"date-parts":[["2014",11]]},"citation-key":"tham2014"}}],"schema":"https://github.com/citation-style-language/schema/raw/master/csl-citation.json"} </w:instrText>
      </w:r>
      <w:r w:rsidR="009D2F69">
        <w:fldChar w:fldCharType="separate"/>
      </w:r>
      <w:r w:rsidR="009D2F69">
        <w:rPr>
          <w:noProof/>
        </w:rPr>
        <w:t>(Tham et al., 2014)</w:t>
      </w:r>
      <w:r w:rsidR="009D2F69">
        <w:fldChar w:fldCharType="end"/>
      </w:r>
      <w:r w:rsidRPr="003A58D4">
        <w:t xml:space="preserve">. </w:t>
      </w:r>
      <w:r w:rsidR="0020653D">
        <w:t xml:space="preserve">This development was explained by global population aging </w:t>
      </w:r>
      <w:r w:rsidRPr="003A58D4">
        <w:t>and growth, with a disproportionately large impact in Asia and Africa.</w:t>
      </w:r>
      <w:r w:rsidR="00D47BB8">
        <w:t xml:space="preserve"> </w:t>
      </w:r>
      <w:r w:rsidRPr="003A58D4">
        <w:t xml:space="preserve">The </w:t>
      </w:r>
      <w:r w:rsidR="00D47BB8">
        <w:t xml:space="preserve">predicted </w:t>
      </w:r>
      <w:r w:rsidR="0013242E">
        <w:t>increas</w:t>
      </w:r>
      <w:r w:rsidR="00D47BB8">
        <w:t>e in</w:t>
      </w:r>
      <w:r w:rsidR="0013242E">
        <w:t xml:space="preserve"> prevalenc</w:t>
      </w:r>
      <w:r w:rsidR="00D47BB8">
        <w:t xml:space="preserve">e </w:t>
      </w:r>
      <w:r w:rsidR="0020653D">
        <w:t>underscore</w:t>
      </w:r>
      <w:r w:rsidR="00D47BB8">
        <w:t xml:space="preserve">s the importance of </w:t>
      </w:r>
      <w:r w:rsidRPr="003A58D4">
        <w:t xml:space="preserve">early </w:t>
      </w:r>
      <w:r w:rsidR="009D2F69">
        <w:t xml:space="preserve">POAG </w:t>
      </w:r>
      <w:r w:rsidRPr="003A58D4">
        <w:t>diagnosis and effective management</w:t>
      </w:r>
      <w:r w:rsidR="00D47BB8">
        <w:t xml:space="preserve"> to prevent blindness.</w:t>
      </w:r>
    </w:p>
    <w:p w14:paraId="596D4339" w14:textId="77777777" w:rsidR="00C04E2A" w:rsidRDefault="00C04E2A" w:rsidP="00C04E2A">
      <w:pPr>
        <w:spacing w:line="360" w:lineRule="auto"/>
        <w:jc w:val="both"/>
      </w:pPr>
    </w:p>
    <w:p w14:paraId="5BC6D116" w14:textId="7F597FBA" w:rsidR="00EA50B5" w:rsidRDefault="003A58D4" w:rsidP="00C04E2A">
      <w:pPr>
        <w:spacing w:line="360" w:lineRule="auto"/>
        <w:jc w:val="both"/>
      </w:pPr>
      <w:r w:rsidRPr="003A58D4">
        <w:t xml:space="preserve">In 2020, both the European Glaucoma Society (EGS) and the American Academy of Ophthalmology (AAO) </w:t>
      </w:r>
      <w:r w:rsidR="002927D4">
        <w:t>recommended</w:t>
      </w:r>
      <w:r w:rsidRPr="003A58D4">
        <w:t xml:space="preserve"> Selective Laser Trabeculoplasty (SLT) as an adequate first-line treatment alternative to medications for open-angle glaucoma</w:t>
      </w:r>
      <w:r w:rsidR="009D2F69">
        <w:t xml:space="preserve"> </w:t>
      </w:r>
      <w:r w:rsidR="009D2F69">
        <w:fldChar w:fldCharType="begin"/>
      </w:r>
      <w:r w:rsidR="001861FE">
        <w:instrText xml:space="preserve"> ADDIN ZOTERO_ITEM CSL_CITATION {"citationID":"iyCw5d6X","properties":{"formattedCitation":"(BMJ Publishing Group Ltd. BMA House, 2021; Gedde et al., 2021a)","plainCitation":"(BMJ Publishing Group Ltd. BMA House, 2021; Gedde et al., 2021a)","noteIndex":0},"citationItems":[{"id":396,"uris":["http://zotero.org/users/15573016/items/7TULMM6X"],"itemData":{"id":396,"type":"article-journal","abstract":"Foreword The only time is now. Every “now” is unique. Responsible persons ask themselves, “How can I act well now?” The answers will differ for every person, because just as every situation is unique, so is every person different from every other person. But surely there must be some algorithm that will assist us in coming to the right answer. Unfortunately, no, for there is no right answer. There is only an answer that is as appropriate as we can conclude at that moment in that situation. No written guidelines can apply appropriately to every unique situation.Unfortunately we physicians have been suckled on a fallacy: “What’s good for the goose is good for the gander.” Phrased in medical terms, “normal findings are good, and abnormal findings are bad.” This is too simple, and often wrong.Good clinicians know that care must be personalized for it to be optimal. So-called normal findings give rough guidance, sometimes applicable to groups, but frequently wrong for individuals. Consider intraocular pressure (IOP). A normal IOP of 15 mmHg good for some and bad for others, and an abnormal IOP of 30 mmHg is good for some and bad for others. We are so bombarded by the myth of the sanctity of the standard distribution curve that it is hard to think independently and specifically. Also, unfortunately, doctors are prone to decide for patients, often on the basis of normative data that is not relevant or important for the particular patient. That we do this is not surprising, as we want to help, and so we default to what seems to be the easy, safe (non-thinking) way, in which we do not have to hold ourselves accountable for the outcome.Somebody HAS to decide, or else we would be living in an anarchical world. Also true. And because none of us knows as much as we need to know to act appropriately, we seek advice from so-called “experts.”For us to care for people well it is essential that we consider what others recommend. So we look to experts, as we should. However, experts are sometimes right and sometimes wrong. Remember that von Graefe in 1860 recommended surgical iridectomy for all glaucoma, Elliot recommended mustard plaster between the shoulders for glaucoma, Becker based treatment on tonographic findings, Weve reported 100% success with penetrating cyclodiathermy in glaucoma, Lichter advised against laser trabeculoplasty, many thought Cypass was great, and the investigators in the Advanced Glaucoma Intervention Study indicated that an IOP usually around 12 mmHg was better than one usually around 20 mmHg. All wrong. What the authors of these guidelines have done excellently, is to provide a general framework on which ophthalmologists can hang pieces of evidence, so as to be able to evaluate the validity and the importance of that evidence. In doing this meticulously they have provided a valuable service to all ophthalmologists, none of whom individually have either the time or the skill to be fully informed. In their own practices the authors consider whether valid information is relevant for the particular person being considered. That process of considering relevance is essential, always. And relevance is based on the particular unique patient, unique doctor and unique situation. The only guideline the authors can provide in this regard is to remind us all to consider relevance with all patients in all situations, and from the patient’s perspective. Even more important than the service to ophthalmologists is the benefit to patients that will result from thoughtful use of these guidelines.We need, also, to remember that diagnoses are generic, and that within every diagnosis there are differences. For example what does a diagnosis of primary open angle mean? Some of those affected will rapidly go blind despite the most thoughtful treatment and others will keep their sight even without treatment. What does a diagnosis of Chandler’s Syndrome mean? In some, surgery works well, and, in others, poorly. So one never directs diagnosis and treatment at a condition, but rather at the person, the objective being the wellness of that person.The previous European Glaucoma Society Guidelines are used internationally. It is good that the EGS is again providing updated, useful information.The Guidelines are a practical, inspirational contribution.George L. Spaeth, BA, MD.Esposito Research Professor, Wills Eye Hospital/Sidney Kimmel Medical College/Thomas Jefferson University\nThe Guidelines writers, authors and contributors Augusto Azuara-Blanco (Editor)Luca BagnascoAlessandro BagnisJoao Barbosa BredaChiara BonzanoAndrei BrezhnevAlain BronCarlo A. CutoloBarbara CvenkelStefano GandolfiTed Garway HeathIlmira GazizovaGus GazzardFranz GrehnAnders HeijlCornelia HirnGábor HollóAnton HommerMichele IesterIngrida JanulevicieneGauti JóhannessonMiriam KolkoTianjing LiJosé Martínez de la CasaFrances Meier-GibbonsMaria MusolinoMarta PazosNorbert PfeifferSergey PetrovLuis Abegao PintoRiccardo ScottoIngeborg StalmansGordana SunaricMégevandErnst TammJohn ThygesenFotis TopouzisMarc Töteberg-HarmsCarlo E. Traverso (Editor)Anja TuulonenZoya VeselovskayaAnanth ViswanathanIlgaz YalvacThierry ZeyenGuidelines Committee Augusto Azuara-Blanco (Chair)Carlo E. Traverso (Co-chair)Manuele Michelessi (NGP Co-chair)Luis Abegao PintoMichele IesterJoao BredaCarlo A. CutoloPanayiota FountiGerhard GarhoeferAndreas KatsanosMiriam KolkoFrancesco OddoneMarta PazosVerena Prokosch-WillingCedric SchweitzerAndrew TathamMarc Toteberg-HarmsAcknowledgements Anja TuulonenTed Garway HeathRichard WormaldTianjing LiManuele MichelessiJenny BurrAzuara-Blanco for their methodological oversight.Tianjing Li and Riaz Qureshi (US Cochrane Eye and Vision Group) and Manuele Michelessi (EGS) for leading the evidence review.Manuele MichelessiGianni VirgiliJoao Barbosa BredaCarlo A. CutoloMarta PazosAndreas KatsanosGerhard GarhoferMiriam KolkoVerena ProkoschPanayota FountiFrancesco OddoneAli Ahmed Al RajhiTianjing LiRiaz Qureshi and Azuara-Blanco for their contribution to the evidence review.Karen Osborn and Joanna Bradley from Glaucoma UK charity for their contribution to the section: ‘What matters to patients’ (https://glaucoma.uk)Additional contributions were made by the following people on specific topics Eleftherios AnastasopoulosPanayiota FountiGus GazzardFranz GrehnAnders HeijlGábor HollóFotis TopouzisAnja TuulonenAnanth ViswanathamThe team of Clinica Oculistica of the University of Genoa for medical editing and illustrations Luca BagnascoAlessandro BagnisChiara BonzanoCarlo A. CutoloMichele LesterMaria MusolinoRoberta ParodiRiccardo ScottoWe would like to thank the following colleagues for their help in reviewing/editing section I.7. Landmark randomised controlled trials for glaucoma Joe CaprioliTed Garway Heath Gus Gazzard Divakar Gupta Anders Heijl Michael Kass Stefano Miglior David Musch Norbert Pfeiffer Thierry ZeyenExternal reviews We would like to thank the following societies and experts:World Glaucoma Association:Parul IchhpujaniMonisha NongpiurTanuj DadaSola OlawoyeJayme ViannaMin Hee SuhFarouk GarbaSimon SkalickyAlex HuangFarouk GarbaPradeep RamuluVerena ProkoschCarolina Gracitelli;American Glaucoma Society:Josh Stein;and Latin-American Glaucoma Society:Daniel GrigeraWe would like to thank the external reviewers whose comments are listed on https://www.eugs.org/eng/guidelines.aspThe EGS executive committee Ted Garway Heath (President)Fotis Topouzis (Vice President)Ingeborg Stalmans (Treasurer)Anja Tuulonen (Past President)Luis Abegao PintoAndrei BrezhnevAlain BronGauti JóhannessonNorbert PfeifferThe board of the European Glaucoma Society Foundation Carlo E. Traverso (Chair)Fotis Topouzis (Vice Chair)Franz GrehnAnders HeijlJohn ThygesenThierry Zeyen\nGlossary 5-FU 5-fluorouracilAAC Acute angle closureACG Angle closure glaucomaAGIS Advanced glaucoma intervention studyAH Aqueous humourAI Artificial intelligenceALT Argon laser trabeculoplastyBAC Benzalkalonium chlorideCCT Central corneal thicknessCDR Cup to disc ratioCIGTS Initial glaucoma treatment studyCNTGS Collaborative normal tension glaucoma studyDCT Dynamic contour tonometryEAGLE Effectiveness of early lens extraction for the treatment of primary angle closure glaucomaEGPS European glaucoma prevention studyEGS European glaucoma societyEMA The european medicines agencyEMGT Early manifest glaucoma trialFC Flow chartFDT Frequency doubling technologyFC Fixed combinationFL Fixation lossesFN False negativesFP False positiveGAT Goldmann applanation tonometryGHT The glaucoma hemifield testGRADE Grading of recommendations, assessment, development and evaluationsHRT Heidelberg retina tomographyICE Irido-corneal endothelial syndromeIOL Intraocular lensIOP Intraocular pressureITC Iridotrabecular contactIV IntravenousLIGHT Laser in glaucoma and ocular hypertension trialLPI Laser peripheral iridotomyLV Loss varianceMD Mean defect or mean deviationMMC Mitomycin CNCT Non-contact tonometryNd:YAG Neodymium-doped yttrium aluminum garnetNTG Normal tension glaucomaOAG Open angle glaucomaOCT Optical coherence tomographyOHT Ocular hypertensionOHTS The ocular hypertension treatment studyONH Optic nerve headORA Ocular response analyserOSD Ocular surface diseasePAC Primary angle closurePACG Primary angle closure glaucomaPACS Primary angle closure suspectPAS Peripheral anterior synechiaePCG Primary congenital glaucomaPDS Pigment dispersion syndromePGA Prostaglandin analoguePOAG Primary open angle glaucomaPG Pigmentary glaucomaPSD Pattern standard deviationPXF Pseudoexfoliation syndromePXFG Pseudoexfoliation glaucomaRCT Randomised controlled trialRNFL Retinal nerve fiber layerRoP Rate of progressionSAP Standard automated perimetrySITA Swedish interactive threshold algorithmSLT Selective laser trabeculoplastySWAP Short-wavelength automated perimetryTLPI Thermal laser peripheral iridoplastyTM Trabecular meshworkUBM Ultrasound biomicroscopyUGH Uveitis-glaucoma-hyphema syndromeUKGTS United Kingdom glaucoma treatment studyVEGF Vascular endothelial growth factorVF Visual filedVFI Visual field indexZAP Zhongshan angle closure prevention trial","container-title":"British Journal of Ophthalmology","DOI":"10.1136/bjophthalmol-2021-egsguidelines","ISSN":"0007-1161, 1468-2079","issue":"Suppl 1","language":"en","license":"© Author(s) (or their employer(s)) 2021.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http://creativecommons.org/licenses/by-nc/4.0/.","note":"publisher: BMJ Publishing Group Ltd\nsection: European Glaucoma Society Terminology and Guidelines for Glaucoma, 5th Edition\nPMID: 34675001","page":"1-169","source":"bjo.bmj.com","title":"European Glaucoma Society Terminology and Guidelines for Glaucoma, 5th Edition","URL":"https://bjo.bmj.com/content/105/Suppl_1/1","volume":"105","author":[{"family":"BMJ Publishing Group Ltd. BMA House","given":"Tavistock Square"}],"accessed":{"date-parts":[["2025",2,4]]},"issued":{"date-parts":[["2021",6,1]]},"citation-key":"bmjpublishinggroupltd.bmahouse2021"}},{"id":218,"uris":["http://zotero.org/users/15573016/items/DKI5C5AE"],"itemData":{"id":218,"type":"article-journal","abstract":"BackgroundPrimary open angle glaucoma (POAG) is a chronic, progressive ocular disease causing loss of the optic nerve rim and retinal nerve fiber layer (RNFL) with associated visual field defects. The anterior chamber angle is open, and the disease is generally bilateral. Risk factors for POAG include older age, African race or Latino/Hispanic ethnicity, elevated intraocular pressure (IOP), family history of glaucoma, lower ocular perfusion pressure, type 2 diabetes mellitus, and thin central cornea. It is estimated that 53 million people in the world have POAG in 2020 with a prevalence of 3.0% in the population aged 40 to 80 years.","container-title":"Ophthalmology","DOI":"10.1016/j.ophtha.2020.10.022","ISSN":"0161-6420","issue":"1","note":"publisher: Elsevier","page":"P71-P150","title":"Primary Open-Angle Glaucoma Preferred Practice Pattern®","URL":"https://doi.org/10.1016/j.ophtha.2020.10.022","volume":"128","author":[{"family":"Gedde","given":"Steven J."},{"family":"Vinod","given":"Kateki"},{"family":"Wright","given":"Martha M."},{"family":"Muir","given":"Kelly W."},{"family":"Lind","given":"John T."},{"family":"Chen","given":"Philip P."},{"family":"Li","given":"Tianjing"},{"family":"Mansberger","given":"Steven L."}],"accessed":{"date-parts":[["2024",11,24]]},"issued":{"date-parts":[["2021",1,1]]},"citation-key":"gedde2021a"}}],"schema":"https://github.com/citation-style-language/schema/raw/master/csl-citation.json"} </w:instrText>
      </w:r>
      <w:r w:rsidR="009D2F69">
        <w:fldChar w:fldCharType="separate"/>
      </w:r>
      <w:r w:rsidR="001861FE">
        <w:rPr>
          <w:noProof/>
        </w:rPr>
        <w:t>(BMJ Publishing Group Ltd. BMA House, 2021; Gedde et al., 2021a)</w:t>
      </w:r>
      <w:r w:rsidR="009D2F69">
        <w:fldChar w:fldCharType="end"/>
      </w:r>
      <w:r w:rsidRPr="003A58D4">
        <w:t>.</w:t>
      </w:r>
      <w:r w:rsidR="009D2F69">
        <w:t xml:space="preserve"> Th</w:t>
      </w:r>
      <w:r w:rsidR="002927D4">
        <w:t>e</w:t>
      </w:r>
      <w:r w:rsidR="009D2F69">
        <w:t xml:space="preserve">se guideline changes </w:t>
      </w:r>
      <w:r w:rsidR="0020653D">
        <w:t>were</w:t>
      </w:r>
      <w:r w:rsidR="009D2F69">
        <w:t xml:space="preserve"> mainly driven by the </w:t>
      </w:r>
      <w:r w:rsidR="009D2F69" w:rsidRPr="009D2F69">
        <w:t xml:space="preserve">Laser in Glaucoma and Ocular Hypertension </w:t>
      </w:r>
      <w:r w:rsidR="009D2F69">
        <w:t xml:space="preserve">(LiGHT) trial and its reported </w:t>
      </w:r>
      <w:r w:rsidRPr="003A58D4">
        <w:t>positive results</w:t>
      </w:r>
      <w:r w:rsidR="009D2F69">
        <w:t xml:space="preserve"> </w:t>
      </w:r>
      <w:r w:rsidR="009D2F69">
        <w:fldChar w:fldCharType="begin"/>
      </w:r>
      <w:r w:rsidR="00C140F1">
        <w:instrText xml:space="preserve"> ADDIN ZOTERO_ITEM CSL_CITATION {"citationID":"mqbOYe2G","properties":{"formattedCitation":"(Gazzard et al., 2019, 2023)","plainCitation":"(Gazzard et al., 2019, 2023)","noteIndex":0},"citationItems":[{"id":412,"uris":["http://zotero.org/users/15573016/items/TKBZQZ6I"],"itemData":{"id":412,"type":"article-journal","container-title":"The Lancet","DOI":"10.1016/S0140-6736(18)32213-X","ISSN":"01406736","issue":"10180","journalAbbreviation":"The Lancet","language":"en","page":"1505-1516","source":"DOI.org (Crossref)","title":"Selective laser trabeculoplasty versus eye drops for first-line treatment of ocular hypertension and glaucoma (LiGHT): a multicentre randomised controlled trial","title-short":"Selective laser trabeculoplasty versus eye drops for first-line treatment of ocular hypertension and glaucoma (LiGHT)","URL":"https://linkinghub.elsevier.com/retrieve/pii/S014067361832213X","volume":"393","author":[{"family":"Gazzard","given":"Gus"},{"family":"Konstantakopoulou","given":"Evgenia"},{"family":"Garway-Heath","given":"David"},{"family":"Garg","given":"Anurag"},{"family":"Vickerstaff","given":"Victoria"},{"family":"Hunter","given":"Rachael"},{"family":"Ambler","given":"Gareth"},{"family":"Bunce","given":"Catey"},{"family":"Wormald","given":"Richard"},{"family":"Nathwani","given":"Neil"},{"family":"Barton","given":"Keith"},{"family":"Rubin","given":"Gary"},{"family":"Buszewicz","given":"Marta"},{"family":"Ambler","given":"Gareth"},{"family":"Barton","given":"Keith"},{"family":"Bourne","given":"Rupert"},{"family":"Broadway","given":"David"},{"family":"Bunce","given":"Catey"},{"family":"Buszewicz","given":"Marta"},{"family":"Davis","given":"Amanda"},{"family":"Garg","given":"Anurag"},{"family":"Garway-Heath","given":"David"},{"family":"Gazzard","given":"Gus"},{"family":"Hunter","given":"Rachael"},{"family":"Jayaram","given":"Hari"},{"family":"Jiang","given":"Yuzhen"},{"family":"Konstantakopoulou","given":"Evgenia"},{"family":"Lim","given":"Sheng"},{"family":"Liput","given":"Joanna"},{"family":"Manners","given":"Timothy"},{"family":"Morris","given":"Stephen"},{"family":"Nathwani","given":"Neil"},{"family":"Rubin","given":"Gary"},{"family":"Strouthidis","given":"Nicholas"},{"family":"Vickerstaff","given":"Victoria"},{"family":"Wilson","given":"Sarah"},{"family":"Wormald","given":"Richard"},{"family":"Zhu","given":"Haogang"}],"accessed":{"date-parts":[["2025",2,5]]},"issued":{"date-parts":[["2019",4]]},"citation-key":"gazzard2019"}},{"id":722,"uris":["http://zotero.org/users/15573016/items/Z46N5VTM"],"itemData":{"id":722,"type":"article-journal","abstract":"PURPOSE: The Laser in Glaucoma and Ocular Hypertension (LiGHT) Trial has shown selective laser trabeculoplasty (SLT) to be clinically and cost-effective as a primary treatment of open-angle glaucoma (OAG) and ocular hypertension (OHT) at 3 years. This article reports health-related quality of life (HRQoL) and clinical effectiveness of initial treatment with SLT compared with intraocular pressure (IOP)-lowering eye drops after 6 years of treatment.\nDESIGN: Prospective, multicenter randomized controlled trial.\nPARTICIPANTS: Treatment-naive eyes with OAG or OHT initially treated with SLT or IOP-lowering drops.\nMETHODS: Patients were allocated randomly to initial SLT or eye drops. After the initial 3 years of the trial, patients in the SLT arm were permitted a third SLT if necessary; patients in the drops arm were allowed SLT as a treatment switch or escalation. This study is registered at controlled-trials.com (identifier, ISRCTN32038223).\nMAIN OUTCOME MEASURES: The primary outcome was HRQoL at 6 years; secondary outcomes were clinical effectiveness and adverse events.\nRESULTS: Of the 692 patients completing 3 years in the LiGHT Trial, 633 patients (91.5%) entered the extension, and 524 patients completed 6 years in the trial (82.8% of those entering the extension phase). At 6 years, no significant differences were found for the EuroQol EQ-5D 5 Levels, Glaucoma Utility Index, and Glaucoma Quality of Life-15 (P &gt; 0.05 for all). The SLT arm showed better Glaucoma Symptom Scale scores than the drops arm (83.6 ± 18.1 vs. 81.3 ± 17.3, respectively). Of eyes in the SLT arm, 69.8% remained at or less than the target IOP without the need for medical or surgical treatment. More eyes in the drops arm exhibited disease progression (26.8% vs. 19.6%, respectively; P = 0.006). Trabeculectomy was required in 32 eyes in the drops arm compared with 13 eyes in the SLT arm (P &lt; 0.001); more cataract surgeries occurred in the drops arm (95 compared with 57 eyes; P = 0.03). No serious laser-related adverse events occurred.\nCONCLUSIONS: Selective laser trabeculoplasty is a safe treatment for OAG and OHT, providing better long-term disease control than initial drop therapy, with reduced need for incisional glaucoma and cataract surgery over 6 years.","container-title":"Ophthalmology","DOI":"10.1016/j.ophtha.2022.09.009","ISSN":"1549-4713","issue":"2","journalAbbreviation":"Ophthalmology","language":"eng","note":"PMID: 36122660","page":"139-151","source":"PubMed","title":"Laser in Glaucoma and Ocular Hypertension (LiGHT) Trial: Six-Year Results of Primary Selective Laser Trabeculoplasty versus Eye Drops for the Treatment of Glaucoma and Ocular Hypertension","title-short":"Laser in Glaucoma and Ocular Hypertension (LiGHT) Trial","volume":"130","author":[{"family":"Gazzard","given":"Gus"},{"family":"Konstantakopoulou","given":"Evgenia"},{"family":"Garway-Heath","given":"David"},{"family":"Adeleke","given":"Mariam"},{"family":"Vickerstaff","given":"Victoria"},{"family":"Ambler","given":"Gareth"},{"family":"Hunter","given":"Rachael"},{"family":"Bunce","given":"Catey"},{"family":"Nathwani","given":"Neil"},{"family":"Barton","given":"Keith"},{"literal":"LiGHT Trial Study Group"}],"issued":{"date-parts":[["2023",2]]},"citation-key":"gazzard2023a"}}],"schema":"https://github.com/citation-style-language/schema/raw/master/csl-citation.json"} </w:instrText>
      </w:r>
      <w:r w:rsidR="009D2F69">
        <w:fldChar w:fldCharType="separate"/>
      </w:r>
      <w:r w:rsidR="00A54390">
        <w:rPr>
          <w:noProof/>
        </w:rPr>
        <w:t>(Gazzard et al., 2019, 2023)</w:t>
      </w:r>
      <w:r w:rsidR="009D2F69">
        <w:fldChar w:fldCharType="end"/>
      </w:r>
      <w:r w:rsidRPr="003A58D4">
        <w:t xml:space="preserve">. </w:t>
      </w:r>
      <w:r w:rsidR="0020653D">
        <w:t>The</w:t>
      </w:r>
      <w:r w:rsidRPr="003A58D4">
        <w:t xml:space="preserve"> present guideline recommendations offer </w:t>
      </w:r>
      <w:r w:rsidR="0020653D">
        <w:t>a surgical management</w:t>
      </w:r>
      <w:r w:rsidRPr="003A58D4">
        <w:t xml:space="preserve"> to a larger patient group</w:t>
      </w:r>
      <w:r w:rsidR="0020653D">
        <w:t>, even at an earlier stage of glaucoma</w:t>
      </w:r>
      <w:r w:rsidRPr="003A58D4">
        <w:t xml:space="preserve">. Thus, the question of safety becomes more </w:t>
      </w:r>
      <w:r w:rsidR="00D47BB8">
        <w:t xml:space="preserve">clinically </w:t>
      </w:r>
      <w:r w:rsidRPr="003A58D4">
        <w:t>relevant</w:t>
      </w:r>
      <w:r w:rsidR="0020653D">
        <w:t>, a</w:t>
      </w:r>
      <w:r w:rsidRPr="003A58D4">
        <w:t xml:space="preserve">s all surgical procedures carry </w:t>
      </w:r>
      <w:r w:rsidR="00285BE7">
        <w:t>the</w:t>
      </w:r>
      <w:r w:rsidRPr="003A58D4">
        <w:t xml:space="preserve"> </w:t>
      </w:r>
      <w:r w:rsidR="0020653D">
        <w:t xml:space="preserve">potential </w:t>
      </w:r>
      <w:r w:rsidR="00285BE7">
        <w:t>for</w:t>
      </w:r>
      <w:r w:rsidRPr="003A58D4">
        <w:t xml:space="preserve"> postoperative complications</w:t>
      </w:r>
      <w:r w:rsidR="0020653D">
        <w:t xml:space="preserve">. </w:t>
      </w:r>
      <w:r w:rsidR="002927D4">
        <w:t>C</w:t>
      </w:r>
      <w:r w:rsidR="0020653D">
        <w:t xml:space="preserve">omplications </w:t>
      </w:r>
      <w:r w:rsidR="00285BE7">
        <w:t xml:space="preserve">can </w:t>
      </w:r>
      <w:r w:rsidR="0020653D">
        <w:t xml:space="preserve">impact </w:t>
      </w:r>
      <w:r w:rsidR="00D47BB8">
        <w:t>patient</w:t>
      </w:r>
      <w:r w:rsidR="0020653D">
        <w:t>s</w:t>
      </w:r>
      <w:r w:rsidR="00285BE7">
        <w:t>’</w:t>
      </w:r>
      <w:r w:rsidR="0020653D">
        <w:t xml:space="preserve"> </w:t>
      </w:r>
      <w:r w:rsidR="00D47BB8">
        <w:t>quality of life</w:t>
      </w:r>
      <w:r w:rsidR="00285BE7">
        <w:t xml:space="preserve"> and influence</w:t>
      </w:r>
      <w:r w:rsidR="00FD7712">
        <w:t xml:space="preserve"> postoperative management</w:t>
      </w:r>
      <w:r w:rsidR="00285BE7">
        <w:t xml:space="preserve"> </w:t>
      </w:r>
      <w:r w:rsidR="00D47BB8">
        <w:t xml:space="preserve">and long-term treatment success. </w:t>
      </w:r>
      <w:r w:rsidRPr="003A58D4">
        <w:t xml:space="preserve">Accordingly, the risk profiles of surgical interventions </w:t>
      </w:r>
      <w:r w:rsidR="00285BE7">
        <w:t>will be</w:t>
      </w:r>
      <w:r w:rsidRPr="003A58D4">
        <w:t xml:space="preserve"> </w:t>
      </w:r>
      <w:r w:rsidR="00D47BB8">
        <w:t>examined</w:t>
      </w:r>
      <w:r w:rsidRPr="003A58D4">
        <w:t xml:space="preserve"> </w:t>
      </w:r>
      <w:r w:rsidR="00285BE7">
        <w:t>in this review</w:t>
      </w:r>
      <w:r w:rsidRPr="003A58D4">
        <w:t>.</w:t>
      </w:r>
      <w:r w:rsidR="00D47BB8">
        <w:t xml:space="preserve"> </w:t>
      </w:r>
      <w:r w:rsidRPr="003A58D4">
        <w:t xml:space="preserve">To </w:t>
      </w:r>
      <w:r w:rsidR="00D47BB8">
        <w:t xml:space="preserve">encompass the </w:t>
      </w:r>
      <w:r w:rsidR="00285BE7">
        <w:t xml:space="preserve">clinical </w:t>
      </w:r>
      <w:r w:rsidR="00D47BB8">
        <w:t>variations</w:t>
      </w:r>
      <w:r w:rsidRPr="003A58D4">
        <w:t xml:space="preserve"> in POAG severity</w:t>
      </w:r>
      <w:r w:rsidR="00285BE7">
        <w:t xml:space="preserve"> and their specific management modalities</w:t>
      </w:r>
      <w:r w:rsidR="00FD7712">
        <w:t>,</w:t>
      </w:r>
      <w:r w:rsidR="00D47BB8">
        <w:t xml:space="preserve"> </w:t>
      </w:r>
      <w:r w:rsidRPr="003A58D4">
        <w:t xml:space="preserve">this review </w:t>
      </w:r>
      <w:r w:rsidR="00FD7712">
        <w:t xml:space="preserve">will </w:t>
      </w:r>
      <w:r w:rsidRPr="003A58D4">
        <w:t>include various surgical intervention</w:t>
      </w:r>
      <w:r w:rsidR="009D2F69">
        <w:t xml:space="preserve"> groups</w:t>
      </w:r>
      <w:r w:rsidRPr="003A58D4">
        <w:t>. Those are laser trabeculoplasties, penetrating surgeries, non-penetrating surgeries, minimally invasive glaucoma surgeries (MIGS), micro-invasive filtration surgeries (MIFS), and cyclodestructive procedures. The reported postoperative complications will be classified by incidence, timing (early vs. late), and relation to the type of surgical intervention.</w:t>
      </w:r>
    </w:p>
    <w:p w14:paraId="4AE96E4B" w14:textId="77777777" w:rsidR="003A58D4" w:rsidRDefault="003A58D4" w:rsidP="003A0B82">
      <w:pPr>
        <w:spacing w:line="360" w:lineRule="auto"/>
        <w:ind w:right="-279" w:firstLine="425"/>
      </w:pPr>
    </w:p>
    <w:p w14:paraId="082C4512" w14:textId="77777777" w:rsidR="00717768" w:rsidRDefault="00717768" w:rsidP="003A0B82">
      <w:pPr>
        <w:spacing w:line="360" w:lineRule="auto"/>
        <w:ind w:right="-279" w:firstLine="425"/>
      </w:pPr>
    </w:p>
    <w:p w14:paraId="6568B66C" w14:textId="77777777" w:rsidR="00567899" w:rsidRDefault="00567899" w:rsidP="003A0B82">
      <w:pPr>
        <w:spacing w:line="360" w:lineRule="auto"/>
        <w:ind w:right="-279" w:firstLine="425"/>
      </w:pPr>
    </w:p>
    <w:p w14:paraId="57B42FF4" w14:textId="77777777" w:rsidR="00717768" w:rsidRDefault="00717768" w:rsidP="003A0B82">
      <w:pPr>
        <w:spacing w:line="360" w:lineRule="auto"/>
        <w:ind w:right="-279"/>
      </w:pPr>
    </w:p>
    <w:p w14:paraId="1C45832C" w14:textId="72BBFB77" w:rsidR="00EA50B5" w:rsidRDefault="00EA50B5" w:rsidP="003A0B82">
      <w:pPr>
        <w:pStyle w:val="Heading1"/>
        <w:ind w:right="0"/>
      </w:pPr>
      <w:bookmarkStart w:id="7" w:name="_Toc213182567"/>
      <w:r>
        <w:lastRenderedPageBreak/>
        <w:t>Methodology</w:t>
      </w:r>
      <w:bookmarkEnd w:id="7"/>
    </w:p>
    <w:p w14:paraId="180788E8" w14:textId="1D038BB6" w:rsidR="00B866A3" w:rsidRDefault="00B866A3" w:rsidP="003A0B82">
      <w:pPr>
        <w:pStyle w:val="Heading2"/>
      </w:pPr>
      <w:bookmarkStart w:id="8" w:name="_Toc213182568"/>
      <w:r>
        <w:t>Research Aim</w:t>
      </w:r>
      <w:bookmarkEnd w:id="8"/>
    </w:p>
    <w:p w14:paraId="746B8943" w14:textId="13F80710" w:rsidR="00DD6670" w:rsidRDefault="00DD6670" w:rsidP="00C04E2A">
      <w:pPr>
        <w:spacing w:line="360" w:lineRule="auto"/>
        <w:jc w:val="both"/>
      </w:pPr>
      <w:r>
        <w:t xml:space="preserve">The purpose of this </w:t>
      </w:r>
      <w:r w:rsidR="00D72D8C">
        <w:t xml:space="preserve">literature </w:t>
      </w:r>
      <w:r>
        <w:t xml:space="preserve">review is to identify </w:t>
      </w:r>
      <w:r w:rsidR="00BD5817">
        <w:t xml:space="preserve">commonly </w:t>
      </w:r>
      <w:r>
        <w:t xml:space="preserve">reported postoperative complications, incidence rates, and timing (early vs. late), and to analyze </w:t>
      </w:r>
      <w:r w:rsidR="00444169">
        <w:t>common</w:t>
      </w:r>
      <w:r>
        <w:t xml:space="preserve"> pathophysiological or surgical-technique factors associated with </w:t>
      </w:r>
      <w:r w:rsidR="00D47BB8">
        <w:t>reported postoperative complications</w:t>
      </w:r>
      <w:r>
        <w:t>.</w:t>
      </w:r>
    </w:p>
    <w:p w14:paraId="7C7B0F73" w14:textId="77777777" w:rsidR="00DD6670" w:rsidRPr="00DD6670" w:rsidRDefault="00DD6670" w:rsidP="003A0B82">
      <w:pPr>
        <w:spacing w:line="360" w:lineRule="auto"/>
      </w:pPr>
    </w:p>
    <w:p w14:paraId="216D1CC2" w14:textId="7AAC2F42" w:rsidR="00AF3007" w:rsidRDefault="00B866A3" w:rsidP="003A0B82">
      <w:pPr>
        <w:pStyle w:val="Heading2"/>
      </w:pPr>
      <w:bookmarkStart w:id="9" w:name="_Toc213182569"/>
      <w:r>
        <w:t>Search Strategy</w:t>
      </w:r>
      <w:bookmarkEnd w:id="9"/>
    </w:p>
    <w:p w14:paraId="7063FE5D" w14:textId="0BD26DD3" w:rsidR="00DD6670" w:rsidRDefault="00DD6670" w:rsidP="00C04E2A">
      <w:pPr>
        <w:spacing w:line="360" w:lineRule="auto"/>
      </w:pPr>
      <w:r>
        <w:t xml:space="preserve">A review of the existing literature on POAG surgical modalities and its associated complications was conducted between May 2024 and June 2025, </w:t>
      </w:r>
      <w:r w:rsidR="00444169">
        <w:t>involving the search</w:t>
      </w:r>
      <w:r>
        <w:t xml:space="preserve"> across multiple biomedical and research databases (PubMed/MEDLINE, the Cochrane Library, and the JAMA Network) and ophthalmological journals such as </w:t>
      </w:r>
      <w:r>
        <w:rPr>
          <w:rStyle w:val="Emphasis"/>
          <w:color w:val="0E101A"/>
        </w:rPr>
        <w:t>Ophthalmology</w:t>
      </w:r>
      <w:r>
        <w:t>, </w:t>
      </w:r>
      <w:r>
        <w:rPr>
          <w:rStyle w:val="Emphasis"/>
          <w:color w:val="0E101A"/>
        </w:rPr>
        <w:t>American Journal of Ophthalmology</w:t>
      </w:r>
      <w:r>
        <w:t>, </w:t>
      </w:r>
      <w:r>
        <w:rPr>
          <w:rStyle w:val="Emphasis"/>
          <w:color w:val="0E101A"/>
        </w:rPr>
        <w:t>British Journal of Ophthalmology</w:t>
      </w:r>
      <w:r>
        <w:t>, </w:t>
      </w:r>
      <w:r>
        <w:rPr>
          <w:rStyle w:val="Emphasis"/>
          <w:color w:val="0E101A"/>
        </w:rPr>
        <w:t>Acta Ophthalmologica</w:t>
      </w:r>
      <w:r>
        <w:t>, and </w:t>
      </w:r>
      <w:r>
        <w:rPr>
          <w:rStyle w:val="Emphasis"/>
          <w:color w:val="0E101A"/>
        </w:rPr>
        <w:t>Journal of Glaucoma</w:t>
      </w:r>
      <w:r>
        <w:t>, among others.</w:t>
      </w:r>
    </w:p>
    <w:p w14:paraId="1A79A6CD" w14:textId="77777777" w:rsidR="00DD6670" w:rsidRDefault="00DD6670" w:rsidP="003A0B82">
      <w:pPr>
        <w:spacing w:line="360" w:lineRule="auto"/>
      </w:pPr>
    </w:p>
    <w:p w14:paraId="47222A73" w14:textId="77777777" w:rsidR="00DD6670" w:rsidRDefault="00DD6670" w:rsidP="003A0B82">
      <w:pPr>
        <w:spacing w:line="360" w:lineRule="auto"/>
        <w:jc w:val="both"/>
      </w:pPr>
      <w:r>
        <w:t>The search terms included various combinations of the following keywords and Medical Subject Headings (MeSH) terms:</w:t>
      </w:r>
    </w:p>
    <w:p w14:paraId="04C35094" w14:textId="77777777" w:rsidR="00DD6670" w:rsidRDefault="00DD6670" w:rsidP="003A0B82">
      <w:pPr>
        <w:pStyle w:val="ListParagraph"/>
        <w:numPr>
          <w:ilvl w:val="0"/>
          <w:numId w:val="3"/>
        </w:numPr>
      </w:pPr>
      <w:r>
        <w:t>"primary open-angle glaucoma" or "POAG"</w:t>
      </w:r>
    </w:p>
    <w:p w14:paraId="53F6E63A" w14:textId="77777777" w:rsidR="00DD6670" w:rsidRDefault="00DD6670" w:rsidP="003A0B82">
      <w:pPr>
        <w:pStyle w:val="ListParagraph"/>
        <w:numPr>
          <w:ilvl w:val="0"/>
          <w:numId w:val="3"/>
        </w:numPr>
      </w:pPr>
      <w:r>
        <w:t>"postoperative complications" or "surgical complications" or "complications"</w:t>
      </w:r>
    </w:p>
    <w:p w14:paraId="41EB1C35" w14:textId="77777777" w:rsidR="00DD6670" w:rsidRDefault="00DD6670" w:rsidP="003A0B82">
      <w:pPr>
        <w:pStyle w:val="ListParagraph"/>
        <w:numPr>
          <w:ilvl w:val="0"/>
          <w:numId w:val="3"/>
        </w:numPr>
      </w:pPr>
      <w:r>
        <w:t>"safety" or "adverse events"</w:t>
      </w:r>
    </w:p>
    <w:p w14:paraId="73A5EEA0" w14:textId="2A45CC32" w:rsidR="00DD6670" w:rsidRDefault="00DD6670" w:rsidP="003A0B82">
      <w:pPr>
        <w:pStyle w:val="ListParagraph"/>
        <w:numPr>
          <w:ilvl w:val="0"/>
          <w:numId w:val="3"/>
        </w:numPr>
      </w:pPr>
      <w:r>
        <w:t>Names of specific surgical procedures (e.g., "trabeculectomy", "tube shunt", "Ahmed valve", "Baerveldt implant", "Preserflo microshunt", "XEN gel stent", "iStent", "Hydrus microstent", "deep sclerectomy", "canaloplasty", "SLT", "ALT", "cyclophotocoagulation")</w:t>
      </w:r>
    </w:p>
    <w:p w14:paraId="3F636351" w14:textId="77777777" w:rsidR="00DD6670" w:rsidRDefault="00DD6670" w:rsidP="003A0B82">
      <w:pPr>
        <w:spacing w:line="360" w:lineRule="auto"/>
      </w:pPr>
    </w:p>
    <w:p w14:paraId="3B6A3A33" w14:textId="37B30F1E" w:rsidR="00DD6670" w:rsidRDefault="00DD6670" w:rsidP="003A0B82">
      <w:pPr>
        <w:spacing w:line="360" w:lineRule="auto"/>
        <w:jc w:val="both"/>
      </w:pPr>
      <w:r>
        <w:t>Boolean operators (AND, OR) were used</w:t>
      </w:r>
      <w:r>
        <w:rPr>
          <w:rStyle w:val="apple-converted-space"/>
          <w:color w:val="0E101A"/>
        </w:rPr>
        <w:t> </w:t>
      </w:r>
      <w:r>
        <w:t>to filter and refine the search results and obtain relevant literature.</w:t>
      </w:r>
    </w:p>
    <w:p w14:paraId="0CE38657" w14:textId="77777777" w:rsidR="00DD6670" w:rsidRPr="00DD6670" w:rsidRDefault="00DD6670" w:rsidP="003A0B82">
      <w:pPr>
        <w:spacing w:line="360" w:lineRule="auto"/>
      </w:pPr>
    </w:p>
    <w:p w14:paraId="1945EFD0" w14:textId="6F4ABE22" w:rsidR="00B866A3" w:rsidRDefault="00B866A3" w:rsidP="003A0B82">
      <w:pPr>
        <w:pStyle w:val="Heading2"/>
      </w:pPr>
      <w:bookmarkStart w:id="10" w:name="_Toc213182570"/>
      <w:r>
        <w:t>Inclusion and Exclusion Criteria</w:t>
      </w:r>
      <w:bookmarkEnd w:id="10"/>
    </w:p>
    <w:p w14:paraId="2AE62E95" w14:textId="77777777" w:rsidR="00DD6670" w:rsidRDefault="00DD6670" w:rsidP="003A0B82">
      <w:pPr>
        <w:spacing w:line="360" w:lineRule="auto"/>
        <w:jc w:val="both"/>
      </w:pPr>
      <w:r>
        <w:t>Eligibility criteria were established to focus on high-quality, clinically relevant studies.</w:t>
      </w:r>
    </w:p>
    <w:p w14:paraId="63DEBE12" w14:textId="77777777" w:rsidR="00DD6670" w:rsidRDefault="00DD6670" w:rsidP="003A0B82">
      <w:pPr>
        <w:spacing w:line="360" w:lineRule="auto"/>
        <w:rPr>
          <w:u w:val="single"/>
        </w:rPr>
      </w:pPr>
    </w:p>
    <w:p w14:paraId="5B95E6D0" w14:textId="4189F091" w:rsidR="00DD6670" w:rsidRPr="00DD6670" w:rsidRDefault="00DD6670" w:rsidP="003A0B82">
      <w:pPr>
        <w:spacing w:line="360" w:lineRule="auto"/>
        <w:rPr>
          <w:u w:val="single"/>
        </w:rPr>
      </w:pPr>
      <w:r w:rsidRPr="00DD6670">
        <w:rPr>
          <w:u w:val="single"/>
        </w:rPr>
        <w:t>Inclusion criteria:</w:t>
      </w:r>
    </w:p>
    <w:p w14:paraId="20C4ADDA" w14:textId="069263A4" w:rsidR="00DD6670" w:rsidRDefault="00DD6670" w:rsidP="003A0B82">
      <w:pPr>
        <w:pStyle w:val="ListParagraph"/>
        <w:numPr>
          <w:ilvl w:val="0"/>
          <w:numId w:val="4"/>
        </w:numPr>
      </w:pPr>
      <w:r>
        <w:t>Studies published between 2015 and 2025.</w:t>
      </w:r>
    </w:p>
    <w:p w14:paraId="344E5A70" w14:textId="41FDC5B7" w:rsidR="00DD6670" w:rsidRDefault="00DD6670" w:rsidP="003A0B82">
      <w:pPr>
        <w:pStyle w:val="ListParagraph"/>
        <w:numPr>
          <w:ilvl w:val="0"/>
          <w:numId w:val="4"/>
        </w:numPr>
      </w:pPr>
      <w:r>
        <w:lastRenderedPageBreak/>
        <w:t>Older cornerstone studies were included when more recent, high-quality data were unavailable.</w:t>
      </w:r>
    </w:p>
    <w:p w14:paraId="3CF05726" w14:textId="77777777" w:rsidR="00DD6670" w:rsidRDefault="00DD6670" w:rsidP="003A0B82">
      <w:pPr>
        <w:pStyle w:val="ListParagraph"/>
        <w:numPr>
          <w:ilvl w:val="0"/>
          <w:numId w:val="4"/>
        </w:numPr>
      </w:pPr>
      <w:r>
        <w:t>Publications written in English with full-text access.</w:t>
      </w:r>
    </w:p>
    <w:p w14:paraId="6B4C2C30" w14:textId="77777777" w:rsidR="00DD6670" w:rsidRDefault="00DD6670" w:rsidP="003A0B82">
      <w:pPr>
        <w:pStyle w:val="ListParagraph"/>
        <w:numPr>
          <w:ilvl w:val="0"/>
          <w:numId w:val="4"/>
        </w:numPr>
      </w:pPr>
      <w:r>
        <w:t>Meta-analysis, Systematic reviews, Clinical trials, cohort studies, observational studies, and comparative studies reporting postoperative complication rates.</w:t>
      </w:r>
    </w:p>
    <w:p w14:paraId="6448100B" w14:textId="77777777" w:rsidR="00DD6670" w:rsidRDefault="00DD6670" w:rsidP="003A0B82">
      <w:pPr>
        <w:pStyle w:val="ListParagraph"/>
        <w:numPr>
          <w:ilvl w:val="0"/>
          <w:numId w:val="4"/>
        </w:numPr>
      </w:pPr>
      <w:r>
        <w:t>Studies directly assessing the complications or safety of surgical techniques for POAG.</w:t>
      </w:r>
    </w:p>
    <w:p w14:paraId="3B9C5156" w14:textId="77777777" w:rsidR="00DD6670" w:rsidRDefault="00DD6670" w:rsidP="003A0B82">
      <w:pPr>
        <w:spacing w:line="360" w:lineRule="auto"/>
      </w:pPr>
    </w:p>
    <w:p w14:paraId="76E913D3" w14:textId="77777777" w:rsidR="00DD6670" w:rsidRPr="00DD6670" w:rsidRDefault="00DD6670" w:rsidP="003A0B82">
      <w:pPr>
        <w:spacing w:line="360" w:lineRule="auto"/>
        <w:rPr>
          <w:u w:val="single"/>
        </w:rPr>
      </w:pPr>
      <w:r w:rsidRPr="00DD6670">
        <w:rPr>
          <w:u w:val="single"/>
        </w:rPr>
        <w:t>Exclusion criteria:</w:t>
      </w:r>
    </w:p>
    <w:p w14:paraId="66AA7FB5" w14:textId="77777777" w:rsidR="00DD6670" w:rsidRDefault="00DD6670" w:rsidP="003A0B82">
      <w:pPr>
        <w:pStyle w:val="ListParagraph"/>
        <w:numPr>
          <w:ilvl w:val="0"/>
          <w:numId w:val="5"/>
        </w:numPr>
      </w:pPr>
      <w:r>
        <w:t>Case reports, small case series, editorials, letters to the editor, and conference abstracts (without full-text access).</w:t>
      </w:r>
    </w:p>
    <w:p w14:paraId="35F23EE9" w14:textId="77777777" w:rsidR="00DD6670" w:rsidRDefault="00DD6670" w:rsidP="003A0B82">
      <w:pPr>
        <w:pStyle w:val="ListParagraph"/>
        <w:numPr>
          <w:ilvl w:val="0"/>
          <w:numId w:val="5"/>
        </w:numPr>
      </w:pPr>
      <w:r>
        <w:t>Studies not reporting postoperative complications or safety outcomes.</w:t>
      </w:r>
    </w:p>
    <w:p w14:paraId="796ADC15" w14:textId="296449A9" w:rsidR="00DD6670" w:rsidRDefault="00DD6670" w:rsidP="003A0B82">
      <w:pPr>
        <w:pStyle w:val="ListParagraph"/>
        <w:numPr>
          <w:ilvl w:val="0"/>
          <w:numId w:val="5"/>
        </w:numPr>
      </w:pPr>
      <w:r>
        <w:t>Animal or in vitro studies.</w:t>
      </w:r>
    </w:p>
    <w:p w14:paraId="2FFB0B3C" w14:textId="77777777" w:rsidR="00DD6670" w:rsidRPr="00DD6670" w:rsidRDefault="00DD6670" w:rsidP="003A0B82">
      <w:pPr>
        <w:spacing w:line="360" w:lineRule="auto"/>
      </w:pPr>
    </w:p>
    <w:p w14:paraId="64E68133" w14:textId="77777777" w:rsidR="00B866A3" w:rsidRDefault="00B866A3" w:rsidP="003A0B82">
      <w:pPr>
        <w:pStyle w:val="Heading2"/>
      </w:pPr>
      <w:bookmarkStart w:id="11" w:name="_Toc213182571"/>
      <w:r>
        <w:t>Study Selection and Data Extraction</w:t>
      </w:r>
      <w:bookmarkEnd w:id="11"/>
    </w:p>
    <w:p w14:paraId="79F76541" w14:textId="77777777" w:rsidR="00B866A3" w:rsidRDefault="00B866A3" w:rsidP="003A0B82">
      <w:pPr>
        <w:spacing w:line="360" w:lineRule="auto"/>
      </w:pPr>
      <w:r>
        <w:t>The study selection process was designed in two steps:</w:t>
      </w:r>
    </w:p>
    <w:p w14:paraId="6017BB86" w14:textId="77777777" w:rsidR="00DD6670" w:rsidRDefault="00DD6670" w:rsidP="003A0B82">
      <w:pPr>
        <w:spacing w:line="360" w:lineRule="auto"/>
      </w:pPr>
    </w:p>
    <w:p w14:paraId="22F465C0" w14:textId="0A019375" w:rsidR="00B866A3" w:rsidRPr="00DD6670" w:rsidRDefault="00B866A3" w:rsidP="003A0B82">
      <w:pPr>
        <w:pStyle w:val="ListParagraph"/>
        <w:numPr>
          <w:ilvl w:val="0"/>
          <w:numId w:val="7"/>
        </w:numPr>
        <w:rPr>
          <w:b/>
          <w:bCs/>
          <w:color w:val="000000"/>
          <w:u w:val="single"/>
        </w:rPr>
      </w:pPr>
      <w:r w:rsidRPr="00DD6670">
        <w:rPr>
          <w:rStyle w:val="Strong"/>
          <w:b w:val="0"/>
          <w:bCs w:val="0"/>
          <w:color w:val="000000"/>
          <w:u w:val="single"/>
        </w:rPr>
        <w:t>Title and Abstract Screening:</w:t>
      </w:r>
      <w:r w:rsidR="00DD6670">
        <w:rPr>
          <w:rStyle w:val="Strong"/>
          <w:b w:val="0"/>
          <w:bCs w:val="0"/>
          <w:color w:val="000000"/>
        </w:rPr>
        <w:t xml:space="preserve"> </w:t>
      </w:r>
      <w:r>
        <w:t>Preliminary eligibility was determined by reviewing study</w:t>
      </w:r>
      <w:r w:rsidR="00DD6670">
        <w:t xml:space="preserve"> </w:t>
      </w:r>
      <w:r>
        <w:t>titles and abstracts.</w:t>
      </w:r>
    </w:p>
    <w:p w14:paraId="5946A484" w14:textId="77777777" w:rsidR="00DD6670" w:rsidRDefault="00DD6670" w:rsidP="003A0B82">
      <w:pPr>
        <w:spacing w:line="360" w:lineRule="auto"/>
      </w:pPr>
    </w:p>
    <w:p w14:paraId="135E1FD6" w14:textId="39052D45" w:rsidR="00DD6670" w:rsidRDefault="00B866A3" w:rsidP="003A0B82">
      <w:pPr>
        <w:pStyle w:val="ListParagraph"/>
        <w:numPr>
          <w:ilvl w:val="0"/>
          <w:numId w:val="7"/>
        </w:numPr>
      </w:pPr>
      <w:r w:rsidRPr="00DD6670">
        <w:rPr>
          <w:rStyle w:val="Strong"/>
          <w:b w:val="0"/>
          <w:bCs w:val="0"/>
          <w:color w:val="000000"/>
          <w:u w:val="single"/>
        </w:rPr>
        <w:t>Full-Text Review:</w:t>
      </w:r>
      <w:r w:rsidR="00DD6670">
        <w:rPr>
          <w:rStyle w:val="Strong"/>
          <w:b w:val="0"/>
          <w:bCs w:val="0"/>
          <w:color w:val="000000"/>
        </w:rPr>
        <w:t xml:space="preserve"> </w:t>
      </w:r>
      <w:r>
        <w:t>Eligible</w:t>
      </w:r>
      <w:r w:rsidR="00DD6670">
        <w:t xml:space="preserve"> </w:t>
      </w:r>
      <w:r>
        <w:t>full-text articles were reviewed</w:t>
      </w:r>
      <w:r w:rsidR="00BD6473">
        <w:t>,</w:t>
      </w:r>
      <w:r>
        <w:t xml:space="preserve"> and data on postoperative complications</w:t>
      </w:r>
      <w:r w:rsidR="00DD6670">
        <w:t xml:space="preserve"> </w:t>
      </w:r>
      <w:r>
        <w:t>were</w:t>
      </w:r>
      <w:r w:rsidR="00DD6670">
        <w:t xml:space="preserve"> </w:t>
      </w:r>
      <w:r>
        <w:t>extracted.</w:t>
      </w:r>
    </w:p>
    <w:p w14:paraId="1CF81CAD" w14:textId="77777777" w:rsidR="00DD6670" w:rsidRDefault="00DD6670" w:rsidP="003A0B82">
      <w:pPr>
        <w:pStyle w:val="ListParagraph"/>
      </w:pPr>
    </w:p>
    <w:p w14:paraId="4D782562" w14:textId="77777777" w:rsidR="00DD6670" w:rsidRDefault="00B866A3" w:rsidP="003A0B82">
      <w:pPr>
        <w:spacing w:line="360" w:lineRule="auto"/>
        <w:ind w:firstLine="425"/>
      </w:pPr>
      <w:r>
        <w:t>Data extracted from each eligible study included:</w:t>
      </w:r>
    </w:p>
    <w:p w14:paraId="4DFE39C7" w14:textId="77777777" w:rsidR="00DD6670" w:rsidRDefault="00B866A3" w:rsidP="003A0B82">
      <w:pPr>
        <w:pStyle w:val="ListParagraph"/>
        <w:numPr>
          <w:ilvl w:val="2"/>
          <w:numId w:val="8"/>
        </w:numPr>
      </w:pPr>
      <w:r>
        <w:t>Type of surgical procedure.</w:t>
      </w:r>
    </w:p>
    <w:p w14:paraId="3016B5C3" w14:textId="77777777" w:rsidR="00DD6670" w:rsidRDefault="00DD6670" w:rsidP="003A0B82">
      <w:pPr>
        <w:pStyle w:val="ListParagraph"/>
        <w:numPr>
          <w:ilvl w:val="2"/>
          <w:numId w:val="8"/>
        </w:numPr>
      </w:pPr>
      <w:r>
        <w:t>Patient population and inclusion criteria.</w:t>
      </w:r>
    </w:p>
    <w:p w14:paraId="1AA89A76" w14:textId="77777777" w:rsidR="00DD6670" w:rsidRDefault="00DD6670" w:rsidP="003A0B82">
      <w:pPr>
        <w:pStyle w:val="ListParagraph"/>
        <w:numPr>
          <w:ilvl w:val="2"/>
          <w:numId w:val="8"/>
        </w:numPr>
      </w:pPr>
      <w:r>
        <w:t>Postoperative complications (type and rates).</w:t>
      </w:r>
    </w:p>
    <w:p w14:paraId="324E5DC8" w14:textId="6A4CAD7E" w:rsidR="00B866A3" w:rsidRDefault="00B866A3" w:rsidP="003A0B82">
      <w:pPr>
        <w:pStyle w:val="ListParagraph"/>
        <w:numPr>
          <w:ilvl w:val="2"/>
          <w:numId w:val="8"/>
        </w:numPr>
      </w:pPr>
      <w:r>
        <w:t>Classification of complications (early or late, when described).</w:t>
      </w:r>
    </w:p>
    <w:p w14:paraId="07985105" w14:textId="77777777" w:rsidR="00AF3007" w:rsidRDefault="00AF3007" w:rsidP="003A0B82">
      <w:pPr>
        <w:pStyle w:val="Heading2"/>
        <w:numPr>
          <w:ilvl w:val="0"/>
          <w:numId w:val="0"/>
        </w:numPr>
      </w:pPr>
    </w:p>
    <w:p w14:paraId="05F93983" w14:textId="77777777" w:rsidR="00AF3007" w:rsidRDefault="00B866A3" w:rsidP="003A0B82">
      <w:pPr>
        <w:pStyle w:val="Heading2"/>
      </w:pPr>
      <w:bookmarkStart w:id="12" w:name="_Toc213182572"/>
      <w:r>
        <w:t>Classification and Synthesis of Complications</w:t>
      </w:r>
      <w:bookmarkEnd w:id="12"/>
    </w:p>
    <w:p w14:paraId="72145CB4" w14:textId="77777777" w:rsidR="00DD6670" w:rsidRDefault="00DD6670" w:rsidP="003A0B82">
      <w:pPr>
        <w:spacing w:line="360" w:lineRule="auto"/>
      </w:pPr>
      <w:r>
        <w:t>Postoperative complications were classified according to the following:</w:t>
      </w:r>
    </w:p>
    <w:p w14:paraId="123569DE" w14:textId="77777777" w:rsidR="00DD6670" w:rsidRDefault="00DD6670" w:rsidP="003A0B82">
      <w:pPr>
        <w:pStyle w:val="ListParagraph"/>
        <w:numPr>
          <w:ilvl w:val="0"/>
          <w:numId w:val="9"/>
        </w:numPr>
      </w:pPr>
      <w:r>
        <w:t>Type of postoperative complication.</w:t>
      </w:r>
    </w:p>
    <w:p w14:paraId="262B2285" w14:textId="7346795F" w:rsidR="00DD6670" w:rsidRDefault="00DD6670" w:rsidP="003A0B82">
      <w:pPr>
        <w:pStyle w:val="ListParagraph"/>
        <w:numPr>
          <w:ilvl w:val="0"/>
          <w:numId w:val="9"/>
        </w:numPr>
      </w:pPr>
      <w:r>
        <w:t>Timing: Early (</w:t>
      </w:r>
      <w:r w:rsidR="0057232A">
        <w:t>&lt;</w:t>
      </w:r>
      <w:r>
        <w:t xml:space="preserve"> </w:t>
      </w:r>
      <w:r w:rsidR="004146FC">
        <w:t>90 days</w:t>
      </w:r>
      <w:r>
        <w:t xml:space="preserve"> postoperatively) vs. late (&gt; </w:t>
      </w:r>
      <w:r w:rsidR="004146FC">
        <w:t>90 days</w:t>
      </w:r>
      <w:r w:rsidR="00717768">
        <w:t xml:space="preserve"> postoperatively</w:t>
      </w:r>
      <w:r>
        <w:t>).</w:t>
      </w:r>
    </w:p>
    <w:p w14:paraId="220E0770" w14:textId="5FD81CFC" w:rsidR="00DD6670" w:rsidRPr="00DD6670" w:rsidRDefault="00DD6670" w:rsidP="003A0B82">
      <w:pPr>
        <w:pStyle w:val="ListParagraph"/>
        <w:numPr>
          <w:ilvl w:val="0"/>
          <w:numId w:val="9"/>
        </w:numPr>
      </w:pPr>
      <w:r>
        <w:lastRenderedPageBreak/>
        <w:t>Frequency: Reported as incidence rates (percentages) as provided by the original study.</w:t>
      </w:r>
    </w:p>
    <w:p w14:paraId="4EE6F4EF" w14:textId="77777777" w:rsidR="00AF3007" w:rsidRDefault="00AF3007" w:rsidP="003A0B82">
      <w:pPr>
        <w:spacing w:line="360" w:lineRule="auto"/>
      </w:pPr>
    </w:p>
    <w:p w14:paraId="7A16D4C1" w14:textId="77777777" w:rsidR="00AF3007" w:rsidRDefault="00B866A3" w:rsidP="003A0B82">
      <w:pPr>
        <w:pStyle w:val="Heading2"/>
      </w:pPr>
      <w:bookmarkStart w:id="13" w:name="_Toc213182573"/>
      <w:r>
        <w:t>Limitations of the Methodology</w:t>
      </w:r>
      <w:bookmarkEnd w:id="13"/>
    </w:p>
    <w:p w14:paraId="329C5BD3" w14:textId="2EE227A4" w:rsidR="00DD6670" w:rsidRDefault="00DD6670" w:rsidP="003A0B82">
      <w:pPr>
        <w:spacing w:line="360" w:lineRule="auto"/>
        <w:ind w:firstLine="576"/>
        <w:jc w:val="both"/>
      </w:pPr>
      <w:r w:rsidRPr="00DD6670">
        <w:t xml:space="preserve">Variability in study designs, definitions of complications and their reporting, and follow-up durations may affect the consistency of reported outcomes.  </w:t>
      </w:r>
    </w:p>
    <w:p w14:paraId="7FC4CD29" w14:textId="74B5FFC9" w:rsidR="0069384E" w:rsidRDefault="0069384E" w:rsidP="003A0B82">
      <w:pPr>
        <w:spacing w:line="360" w:lineRule="auto"/>
      </w:pPr>
    </w:p>
    <w:p w14:paraId="1ED5B53C" w14:textId="09E66B9F" w:rsidR="0069384E" w:rsidRDefault="008C5405" w:rsidP="003A0B82">
      <w:pPr>
        <w:pStyle w:val="Heading2"/>
      </w:pPr>
      <w:bookmarkStart w:id="14" w:name="_Toc213182574"/>
      <w:r>
        <w:t>Language p</w:t>
      </w:r>
      <w:r w:rsidR="002C4EDF">
        <w:t>roofreading</w:t>
      </w:r>
      <w:bookmarkStart w:id="15" w:name="_Hlk212362986"/>
      <w:bookmarkStart w:id="16" w:name="OLE_LINK1"/>
      <w:bookmarkEnd w:id="14"/>
    </w:p>
    <w:p w14:paraId="03B9C70B" w14:textId="0D676B01" w:rsidR="006668D5" w:rsidRDefault="0069384E" w:rsidP="003A0B82">
      <w:pPr>
        <w:spacing w:line="360" w:lineRule="auto"/>
        <w:ind w:firstLine="576"/>
        <w:jc w:val="both"/>
        <w:rPr>
          <w:b/>
          <w:sz w:val="28"/>
          <w:szCs w:val="28"/>
        </w:rPr>
      </w:pPr>
      <w:r w:rsidRPr="0069384E">
        <w:t xml:space="preserve">The final text was reviewed using Grammarly (Grammarly Inc.) to </w:t>
      </w:r>
      <w:r w:rsidR="002C4EDF">
        <w:t xml:space="preserve">ensure </w:t>
      </w:r>
      <w:r w:rsidR="00A8475E">
        <w:t xml:space="preserve">academic </w:t>
      </w:r>
      <w:r w:rsidR="002C4EDF">
        <w:t xml:space="preserve">linguistic accuracy, including </w:t>
      </w:r>
      <w:r w:rsidRPr="0069384E">
        <w:t>grammar, spelling, and stylistic consistency. No content was generated</w:t>
      </w:r>
      <w:r w:rsidR="002C4EDF">
        <w:t xml:space="preserve"> or modified.</w:t>
      </w:r>
      <w:bookmarkEnd w:id="15"/>
    </w:p>
    <w:bookmarkEnd w:id="16"/>
    <w:p w14:paraId="4231A01A" w14:textId="77777777" w:rsidR="00717768" w:rsidRDefault="00717768" w:rsidP="003A0B82">
      <w:pPr>
        <w:spacing w:line="360" w:lineRule="auto"/>
        <w:ind w:right="-279" w:firstLine="425"/>
        <w:rPr>
          <w:b/>
          <w:sz w:val="28"/>
          <w:szCs w:val="28"/>
        </w:rPr>
      </w:pPr>
    </w:p>
    <w:p w14:paraId="276066EF" w14:textId="77777777" w:rsidR="00717768" w:rsidRDefault="00717768" w:rsidP="003A0B82">
      <w:pPr>
        <w:spacing w:line="360" w:lineRule="auto"/>
        <w:ind w:right="-279" w:firstLine="425"/>
        <w:rPr>
          <w:b/>
          <w:sz w:val="28"/>
          <w:szCs w:val="28"/>
        </w:rPr>
      </w:pPr>
    </w:p>
    <w:p w14:paraId="77DFF759" w14:textId="77777777" w:rsidR="00717768" w:rsidRDefault="00717768" w:rsidP="003A0B82">
      <w:pPr>
        <w:spacing w:line="360" w:lineRule="auto"/>
        <w:ind w:right="-279" w:firstLine="425"/>
        <w:rPr>
          <w:b/>
          <w:sz w:val="28"/>
          <w:szCs w:val="28"/>
        </w:rPr>
      </w:pPr>
    </w:p>
    <w:p w14:paraId="4FA337F7" w14:textId="77777777" w:rsidR="003A0B82" w:rsidRDefault="003A0B82" w:rsidP="003A0B82">
      <w:pPr>
        <w:spacing w:line="360" w:lineRule="auto"/>
        <w:ind w:right="-279" w:firstLine="425"/>
        <w:rPr>
          <w:b/>
          <w:sz w:val="28"/>
          <w:szCs w:val="28"/>
        </w:rPr>
      </w:pPr>
    </w:p>
    <w:p w14:paraId="762AA40A" w14:textId="77777777" w:rsidR="003A0B82" w:rsidRDefault="003A0B82" w:rsidP="003A0B82">
      <w:pPr>
        <w:spacing w:line="360" w:lineRule="auto"/>
        <w:ind w:right="-279" w:firstLine="425"/>
        <w:rPr>
          <w:b/>
          <w:sz w:val="28"/>
          <w:szCs w:val="28"/>
        </w:rPr>
      </w:pPr>
    </w:p>
    <w:p w14:paraId="360DEC14" w14:textId="77777777" w:rsidR="003A0B82" w:rsidRDefault="003A0B82" w:rsidP="003A0B82">
      <w:pPr>
        <w:spacing w:line="360" w:lineRule="auto"/>
        <w:ind w:right="-279" w:firstLine="425"/>
        <w:rPr>
          <w:b/>
          <w:sz w:val="28"/>
          <w:szCs w:val="28"/>
        </w:rPr>
      </w:pPr>
    </w:p>
    <w:p w14:paraId="36387D32" w14:textId="77777777" w:rsidR="003A0B82" w:rsidRDefault="003A0B82" w:rsidP="003A0B82">
      <w:pPr>
        <w:spacing w:line="360" w:lineRule="auto"/>
        <w:ind w:right="-279" w:firstLine="425"/>
        <w:rPr>
          <w:b/>
          <w:sz w:val="28"/>
          <w:szCs w:val="28"/>
        </w:rPr>
      </w:pPr>
    </w:p>
    <w:p w14:paraId="6F74730C" w14:textId="77777777" w:rsidR="003A0B82" w:rsidRDefault="003A0B82" w:rsidP="003A0B82">
      <w:pPr>
        <w:spacing w:line="360" w:lineRule="auto"/>
        <w:ind w:right="-279" w:firstLine="425"/>
        <w:rPr>
          <w:b/>
          <w:sz w:val="28"/>
          <w:szCs w:val="28"/>
        </w:rPr>
      </w:pPr>
    </w:p>
    <w:p w14:paraId="450D6166" w14:textId="77777777" w:rsidR="003A0B82" w:rsidRDefault="003A0B82" w:rsidP="003A0B82">
      <w:pPr>
        <w:spacing w:line="360" w:lineRule="auto"/>
        <w:ind w:right="-279" w:firstLine="425"/>
        <w:rPr>
          <w:b/>
          <w:sz w:val="28"/>
          <w:szCs w:val="28"/>
        </w:rPr>
      </w:pPr>
    </w:p>
    <w:p w14:paraId="514E5A2E" w14:textId="77777777" w:rsidR="003A0B82" w:rsidRDefault="003A0B82" w:rsidP="003A0B82">
      <w:pPr>
        <w:spacing w:line="360" w:lineRule="auto"/>
        <w:ind w:right="-279" w:firstLine="425"/>
        <w:rPr>
          <w:b/>
          <w:sz w:val="28"/>
          <w:szCs w:val="28"/>
        </w:rPr>
      </w:pPr>
    </w:p>
    <w:p w14:paraId="66000314" w14:textId="77777777" w:rsidR="003A0B82" w:rsidRDefault="003A0B82" w:rsidP="003A0B82">
      <w:pPr>
        <w:spacing w:line="360" w:lineRule="auto"/>
        <w:ind w:right="-279" w:firstLine="425"/>
        <w:rPr>
          <w:b/>
          <w:sz w:val="28"/>
          <w:szCs w:val="28"/>
        </w:rPr>
      </w:pPr>
    </w:p>
    <w:p w14:paraId="7D00A100" w14:textId="77777777" w:rsidR="003A0B82" w:rsidRDefault="003A0B82" w:rsidP="003A0B82">
      <w:pPr>
        <w:spacing w:line="360" w:lineRule="auto"/>
        <w:ind w:right="-279" w:firstLine="425"/>
        <w:rPr>
          <w:b/>
          <w:sz w:val="28"/>
          <w:szCs w:val="28"/>
        </w:rPr>
      </w:pPr>
    </w:p>
    <w:p w14:paraId="42653DD6" w14:textId="77777777" w:rsidR="003A0B82" w:rsidRDefault="003A0B82" w:rsidP="003A0B82">
      <w:pPr>
        <w:spacing w:line="360" w:lineRule="auto"/>
        <w:ind w:right="-279" w:firstLine="425"/>
        <w:rPr>
          <w:b/>
          <w:sz w:val="28"/>
          <w:szCs w:val="28"/>
        </w:rPr>
      </w:pPr>
    </w:p>
    <w:p w14:paraId="3C3479A6" w14:textId="77777777" w:rsidR="003A0B82" w:rsidRDefault="003A0B82" w:rsidP="003A0B82">
      <w:pPr>
        <w:spacing w:line="360" w:lineRule="auto"/>
        <w:ind w:right="-279" w:firstLine="425"/>
        <w:rPr>
          <w:b/>
          <w:sz w:val="28"/>
          <w:szCs w:val="28"/>
        </w:rPr>
      </w:pPr>
    </w:p>
    <w:p w14:paraId="211FABD6" w14:textId="77777777" w:rsidR="003A0B82" w:rsidRDefault="003A0B82" w:rsidP="003A0B82">
      <w:pPr>
        <w:spacing w:line="360" w:lineRule="auto"/>
        <w:ind w:right="-279" w:firstLine="425"/>
        <w:rPr>
          <w:b/>
          <w:sz w:val="28"/>
          <w:szCs w:val="28"/>
        </w:rPr>
      </w:pPr>
    </w:p>
    <w:p w14:paraId="112B4AF3" w14:textId="77777777" w:rsidR="003A0B82" w:rsidRDefault="003A0B82" w:rsidP="003A0B82">
      <w:pPr>
        <w:spacing w:line="360" w:lineRule="auto"/>
        <w:ind w:right="-279" w:firstLine="425"/>
        <w:rPr>
          <w:b/>
          <w:sz w:val="28"/>
          <w:szCs w:val="28"/>
        </w:rPr>
      </w:pPr>
    </w:p>
    <w:p w14:paraId="70E98B19" w14:textId="77777777" w:rsidR="003A0B82" w:rsidRDefault="003A0B82" w:rsidP="003A0B82">
      <w:pPr>
        <w:spacing w:line="360" w:lineRule="auto"/>
        <w:ind w:right="-279" w:firstLine="425"/>
        <w:rPr>
          <w:b/>
          <w:sz w:val="28"/>
          <w:szCs w:val="28"/>
        </w:rPr>
      </w:pPr>
    </w:p>
    <w:p w14:paraId="7287A112" w14:textId="29F1598A" w:rsidR="00850DAD" w:rsidRDefault="00EA50B5" w:rsidP="003A0B82">
      <w:pPr>
        <w:pStyle w:val="Heading1"/>
        <w:ind w:right="0"/>
      </w:pPr>
      <w:bookmarkStart w:id="17" w:name="_Toc213182575"/>
      <w:r w:rsidRPr="00EA50B5">
        <w:lastRenderedPageBreak/>
        <w:t xml:space="preserve">Overview of Surgical </w:t>
      </w:r>
      <w:r w:rsidR="00AC56DE">
        <w:t>Modalities</w:t>
      </w:r>
      <w:bookmarkEnd w:id="17"/>
    </w:p>
    <w:p w14:paraId="316045A2" w14:textId="70D8FF2B" w:rsidR="00303E5C" w:rsidRDefault="00303E5C" w:rsidP="003A0B82">
      <w:pPr>
        <w:spacing w:line="360" w:lineRule="auto"/>
        <w:ind w:firstLine="432"/>
        <w:jc w:val="both"/>
      </w:pPr>
      <w:r>
        <w:t xml:space="preserve">This chapter </w:t>
      </w:r>
      <w:r w:rsidR="00653BF8">
        <w:t xml:space="preserve">provides an overview </w:t>
      </w:r>
      <w:r w:rsidR="002C4EDF">
        <w:t>o</w:t>
      </w:r>
      <w:r w:rsidR="008C5405">
        <w:t>f</w:t>
      </w:r>
      <w:r w:rsidR="002C4EDF">
        <w:t xml:space="preserve"> all</w:t>
      </w:r>
      <w:r w:rsidR="008C5405">
        <w:t xml:space="preserve"> included</w:t>
      </w:r>
      <w:r w:rsidR="00653BF8">
        <w:t xml:space="preserve"> surgical approaches and techniques used in the </w:t>
      </w:r>
      <w:r w:rsidR="00444169">
        <w:t>management</w:t>
      </w:r>
      <w:r w:rsidR="00653BF8">
        <w:t xml:space="preserve"> of POAG, including</w:t>
      </w:r>
      <w:r>
        <w:t xml:space="preserve"> their</w:t>
      </w:r>
      <w:r w:rsidR="00653BF8">
        <w:t xml:space="preserve"> effects on IOP reduction and</w:t>
      </w:r>
      <w:r>
        <w:t xml:space="preserve"> postoperative complications.</w:t>
      </w:r>
      <w:r w:rsidR="00653BF8">
        <w:t xml:space="preserve"> </w:t>
      </w:r>
    </w:p>
    <w:p w14:paraId="51B539C2" w14:textId="77777777" w:rsidR="00303E5C" w:rsidRPr="00303E5C" w:rsidRDefault="00303E5C" w:rsidP="003A0B82">
      <w:pPr>
        <w:spacing w:line="360" w:lineRule="auto"/>
      </w:pPr>
    </w:p>
    <w:p w14:paraId="72C1FEF3" w14:textId="71FC2E42" w:rsidR="00EA50B5" w:rsidRDefault="00850DAD" w:rsidP="003A0B82">
      <w:pPr>
        <w:pStyle w:val="Heading2"/>
      </w:pPr>
      <w:bookmarkStart w:id="18" w:name="_Toc213182576"/>
      <w:r w:rsidRPr="00850DAD">
        <w:t>Laser trabeculoplasties</w:t>
      </w:r>
      <w:bookmarkEnd w:id="18"/>
    </w:p>
    <w:p w14:paraId="7F732C67" w14:textId="77777777" w:rsidR="00973CF0" w:rsidRDefault="00C9345B" w:rsidP="00C04E2A">
      <w:pPr>
        <w:spacing w:line="360" w:lineRule="auto"/>
        <w:jc w:val="both"/>
      </w:pPr>
      <w:r w:rsidRPr="00C9345B">
        <w:t xml:space="preserve">Laser trabeculoplasties are surgical procedures </w:t>
      </w:r>
      <w:r>
        <w:t>that</w:t>
      </w:r>
      <w:r w:rsidRPr="00C9345B">
        <w:t xml:space="preserve"> </w:t>
      </w:r>
      <w:r w:rsidR="00C140F1">
        <w:t>target</w:t>
      </w:r>
      <w:r w:rsidRPr="00C9345B">
        <w:t xml:space="preserve"> the trabecular meshwork with laser beams. </w:t>
      </w:r>
      <w:r w:rsidR="00E5517F">
        <w:t>Consequently,</w:t>
      </w:r>
      <w:r w:rsidRPr="00C9345B">
        <w:t xml:space="preserve"> local tissue inflammation</w:t>
      </w:r>
      <w:r w:rsidR="00E5517F">
        <w:t xml:space="preserve"> follows</w:t>
      </w:r>
      <w:r w:rsidR="00C140F1">
        <w:t>, which</w:t>
      </w:r>
      <w:r w:rsidRPr="00C9345B">
        <w:t xml:space="preserve"> is presumed to further </w:t>
      </w:r>
      <w:r w:rsidR="00C140F1">
        <w:t>lead to</w:t>
      </w:r>
      <w:r w:rsidRPr="00C9345B">
        <w:t xml:space="preserve"> extracellular matrix remodelling</w:t>
      </w:r>
      <w:r w:rsidR="00C140F1">
        <w:t>. This remodelling opens the trabecular meshwork</w:t>
      </w:r>
      <w:r w:rsidRPr="00C9345B">
        <w:t xml:space="preserve"> and ultimately </w:t>
      </w:r>
      <w:r w:rsidR="00C140F1">
        <w:t>enhances</w:t>
      </w:r>
      <w:r w:rsidRPr="00C9345B">
        <w:t xml:space="preserve"> aqueous </w:t>
      </w:r>
      <w:r w:rsidR="00C140F1" w:rsidRPr="00C9345B">
        <w:t>humour</w:t>
      </w:r>
      <w:r w:rsidRPr="00C9345B">
        <w:t xml:space="preserve"> outflow</w:t>
      </w:r>
      <w:r w:rsidR="00E5517F">
        <w:t>,</w:t>
      </w:r>
      <w:r w:rsidR="00C140F1">
        <w:t xml:space="preserve"> </w:t>
      </w:r>
      <w:r w:rsidR="00E5517F">
        <w:t>thereby</w:t>
      </w:r>
      <w:r w:rsidR="00C140F1">
        <w:t xml:space="preserve"> </w:t>
      </w:r>
      <w:r w:rsidR="00E5517F">
        <w:t>reducing</w:t>
      </w:r>
      <w:r w:rsidRPr="00C9345B">
        <w:t xml:space="preserve"> IOP</w:t>
      </w:r>
      <w:r w:rsidR="00C140F1">
        <w:t xml:space="preserve"> </w:t>
      </w:r>
      <w:r w:rsidR="00C140F1">
        <w:fldChar w:fldCharType="begin"/>
      </w:r>
      <w:r w:rsidR="00C140F1">
        <w:instrText xml:space="preserve"> ADDIN ZOTERO_ITEM CSL_CITATION {"citationID":"SGNmY8A1","properties":{"formattedCitation":"(Stein &amp; Challa, 2007)","plainCitation":"(Stein &amp; Challa, 2007)","noteIndex":0},"citationItems":[{"id":2002,"uris":["http://zotero.org/users/15573016/items/CC5DU9L4"],"itemData":{"id":2002,"type":"article-journal","container-title":"Current Opinion in Ophthalmology","DOI":"10.1097/icu.0b013e328086aebf","ISSN":"1040-8738","issue":"2","language":"en","note":"publisher: Ovid Technologies (Wolters Kluwer Health)","page":"140-145","source":"Crossref","title":"Mechanisms of action and efficacy of argon laser trabeculoplasty and selective laser trabeculoplasty","URL":"http://journals.lww.com/00055735-200703000-00009","volume":"18","author":[{"family":"Stein","given":"Joshua D"},{"family":"Challa","given":"Pratap"}],"accessed":{"date-parts":[["2025",7,7]]},"issued":{"date-parts":[["2007",3]]},"citation-key":"stein2007"}}],"schema":"https://github.com/citation-style-language/schema/raw/master/csl-citation.json"} </w:instrText>
      </w:r>
      <w:r w:rsidR="00C140F1">
        <w:fldChar w:fldCharType="separate"/>
      </w:r>
      <w:r w:rsidR="00C140F1">
        <w:rPr>
          <w:noProof/>
        </w:rPr>
        <w:t>(Stein &amp; Challa, 2007)</w:t>
      </w:r>
      <w:r w:rsidR="00C140F1">
        <w:fldChar w:fldCharType="end"/>
      </w:r>
      <w:r w:rsidRPr="00C9345B">
        <w:t>.</w:t>
      </w:r>
      <w:r w:rsidR="00C140F1">
        <w:t xml:space="preserve"> </w:t>
      </w:r>
      <w:r w:rsidR="002C5FF7">
        <w:t xml:space="preserve">The two representative surgical techniques in the group of laser trabeculoplasties are Selective Laser Trabeculoplasty (SLT) and Argon Laser Trabeculoplasty (ALT). Their primary difference resides in the </w:t>
      </w:r>
      <w:r w:rsidR="00973CF0">
        <w:t xml:space="preserve">properties of the </w:t>
      </w:r>
      <w:r w:rsidR="002C5FF7">
        <w:t>laser u</w:t>
      </w:r>
      <w:r w:rsidR="00973CF0">
        <w:t>sed</w:t>
      </w:r>
      <w:r w:rsidR="002C5FF7">
        <w:t>.</w:t>
      </w:r>
      <w:r w:rsidR="00C140F1">
        <w:t xml:space="preserve"> SLT</w:t>
      </w:r>
      <w:r w:rsidR="002C5FF7">
        <w:t xml:space="preserve"> uses a neodymium-doped yttrium aluminum garnet (Nd:YAG) laser at 532 nm, employing Q-switching and frequency doubling to target pigmented cells in the trabecular meshwork selectively</w:t>
      </w:r>
      <w:r w:rsidR="00C140F1">
        <w:t xml:space="preserve"> </w:t>
      </w:r>
      <w:r w:rsidR="00C140F1">
        <w:fldChar w:fldCharType="begin"/>
      </w:r>
      <w:r w:rsidR="001861FE">
        <w:instrText xml:space="preserve"> ADDIN ZOTERO_ITEM CSL_CITATION {"citationID":"IT2dDpvP","properties":{"formattedCitation":"(Gedde et al., 2021a)","plainCitation":"(Gedde et al., 2021a)","noteIndex":0},"citationItems":[{"id":218,"uris":["http://zotero.org/users/15573016/items/DKI5C5AE"],"itemData":{"id":218,"type":"article-journal","abstract":"BackgroundPrimary open angle glaucoma (POAG) is a chronic, progressive ocular disease causing loss of the optic nerve rim and retinal nerve fiber layer (RNFL) with associated visual field defects. The anterior chamber angle is open, and the disease is generally bilateral. Risk factors for POAG include older age, African race or Latino/Hispanic ethnicity, elevated intraocular pressure (IOP), family history of glaucoma, lower ocular perfusion pressure, type 2 diabetes mellitus, and thin central cornea. It is estimated that 53 million people in the world have POAG in 2020 with a prevalence of 3.0% in the population aged 40 to 80 years.","container-title":"Ophthalmology","DOI":"10.1016/j.ophtha.2020.10.022","ISSN":"0161-6420","issue":"1","note":"publisher: Elsevier","page":"P71-P150","title":"Primary Open-Angle Glaucoma Preferred Practice Pattern®","URL":"https://doi.org/10.1016/j.ophtha.2020.10.022","volume":"128","author":[{"family":"Gedde","given":"Steven J."},{"family":"Vinod","given":"Kateki"},{"family":"Wright","given":"Martha M."},{"family":"Muir","given":"Kelly W."},{"family":"Lind","given":"John T."},{"family":"Chen","given":"Philip P."},{"family":"Li","given":"Tianjing"},{"family":"Mansberger","given":"Steven L."}],"accessed":{"date-parts":[["2024",11,24]]},"issued":{"date-parts":[["2021",1,1]]},"citation-key":"gedde2021a"}}],"schema":"https://github.com/citation-style-language/schema/raw/master/csl-citation.json"} </w:instrText>
      </w:r>
      <w:r w:rsidR="00C140F1">
        <w:fldChar w:fldCharType="separate"/>
      </w:r>
      <w:r w:rsidR="001861FE">
        <w:rPr>
          <w:noProof/>
        </w:rPr>
        <w:t>(Gedde et al., 2021a)</w:t>
      </w:r>
      <w:r w:rsidR="00C140F1">
        <w:fldChar w:fldCharType="end"/>
      </w:r>
      <w:r w:rsidR="00C140F1">
        <w:t xml:space="preserve">. </w:t>
      </w:r>
      <w:r w:rsidR="002C5FF7">
        <w:t xml:space="preserve">Conversely, ALT uses a continuous wave argon laser with wavelengths ranging from 488 to 514 nm. The continuous exposure and shorter wavelengths of the ALT laser produce </w:t>
      </w:r>
      <w:r w:rsidR="00973CF0">
        <w:t xml:space="preserve">a </w:t>
      </w:r>
      <w:r w:rsidR="002C5FF7">
        <w:t xml:space="preserve">higher energy output, resulting in a greater incidence of thermal coagulative injury to the trabecular meshwork </w:t>
      </w:r>
      <w:r w:rsidR="00973CF0">
        <w:t>and</w:t>
      </w:r>
      <w:r w:rsidR="002C5FF7">
        <w:t xml:space="preserve"> greater long-term tissue alteration</w:t>
      </w:r>
      <w:r w:rsidR="00C140F1">
        <w:t xml:space="preserve"> </w:t>
      </w:r>
      <w:r w:rsidR="00C140F1">
        <w:fldChar w:fldCharType="begin"/>
      </w:r>
      <w:r w:rsidR="00303E5C">
        <w:instrText xml:space="preserve"> ADDIN ZOTERO_ITEM CSL_CITATION {"citationID":"oMh0bFcr","properties":{"formattedCitation":"(Cvenkel et al., 2003; Kramer &amp; Noecker, 2001)","plainCitation":"(Cvenkel et al., 2003; Kramer &amp; Noecker, 2001)","noteIndex":0},"citationItems":[{"id":1532,"uris":["http://zotero.org/users/15573016/items/NX9AZVAQ"],"itemData":{"id":1532,"type":"article-journal","abstract":"Abstract\n            \n              Background and Objectives\n              To compare the histopathological changes in the human trabecular meshwork after low power argon laser trabeculoplasty (ALT) and selective laser trabeculoplasty (SLT) with a Q‐switched, frequency‐doubled, neodymium:yttrium–aluminium–garnet (Nd:YAG) laser.\n            \n            \n              Study Design/Materials and Methods\n              In gonioscopically normal trabecular meshwork of three patients awaiting enucleation due to malignant melanoma of the choroid, SLT and ALT were performed 1–5 days prior to enucleation. In each eye, the lower half of trabecular meshwork received SLT, one quadrant low power (460 mW) ALT and one quadrant was left untreated. Specimens were evaluated with light and transmission electron microscopy.\n            \n            \n              Results\n              A sharp demarcation line was visible between the laser treated and untreated intact trabecular meshwork after ALT and SLT. Both lasers caused disruption of trabecular beams, but the extent of the damage was smaller after SLT. The collagen component of trabecular beams was mostly amorphous, the long‐spacing collagen was scanty after ALT, but more abundant after SLT. In the intertrabecular spaces fragmented cells and tissue debris with only a few pigmented cells were observed. Some endothelial cells were desquamated, but appeared slightly better preserved after SLT than ALT.\n            \n            \n              Conclusions\n              Our ultrastructural comparison of the morphological changes after low power ALT and SLT in patients demonstrated that both lasers caused splitting and fragmentation of the trabecular beams of the trabecular meshwork, but the extent of the damage was smaller and the preservation of long‐spacing collagen better after SLT than after ALT. Lasers Surg. Med. 33:204–208, 2003. © 2003 Wiley‐Liss, Inc.","container-title":"Lasers in Surgery and Medicine","DOI":"10.1002/lsm.10203","ISSN":"0196-8092, 1096-9101","issue":"3","journalAbbreviation":"Lasers Surg Med","language":"en","license":"http://onlinelibrary.wiley.com/termsAndConditions#vor","page":"204-208","source":"DOI.org (Crossref)","title":"Acute ultrastructural changes of the trabecular meshwork after selective laser trabeculoplasty and low power argon laser trabeculoplasty","URL":"https://onlinelibrary.wiley.com/doi/10.1002/lsm.10203","volume":"33","author":[{"family":"Cvenkel","given":"Barbara"},{"family":"Hvala","given":"Anastazija"},{"family":"Drnovšek‐Olup","given":"Brigita"},{"family":"Gale","given":"Nina"}],"accessed":{"date-parts":[["2025",6,29]]},"issued":{"date-parts":[["2003",9]]},"citation-key":"cvenkel2003"}},{"id":1530,"uris":["http://zotero.org/users/15573016/items/6BEI6DQW"],"itemData":{"id":1530,"type":"article-journal","container-title":"Ophthalmology","DOI":"10.1016/S0161-6420(00)00660-6","ISSN":"01616420","issue":"4","journalAbbreviation":"Ophthalmology","language":"en","license":"https://www.elsevier.com/tdm/userlicense/1.0/","page":"773-779","source":"DOI.org (Crossref)","title":"Comparison of the morphologic changes after selective laser trabeculoplasty and argon laser trabeculoplasty in human eye bank eyes","URL":"https://linkinghub.elsevier.com/retrieve/pii/S0161642000006606","volume":"108","author":[{"family":"Kramer","given":"Theresa R"},{"family":"Noecker","given":"Robert J"}],"accessed":{"date-parts":[["2025",6,29]]},"issued":{"date-parts":[["2001",4]]},"citation-key":"kramer2001"}}],"schema":"https://github.com/citation-style-language/schema/raw/master/csl-citation.json"} </w:instrText>
      </w:r>
      <w:r w:rsidR="00C140F1">
        <w:fldChar w:fldCharType="separate"/>
      </w:r>
      <w:r w:rsidR="00303E5C">
        <w:rPr>
          <w:noProof/>
        </w:rPr>
        <w:t>(Cvenkel et al., 2003; Kramer &amp; Noecker, 2001)</w:t>
      </w:r>
      <w:r w:rsidR="00C140F1">
        <w:fldChar w:fldCharType="end"/>
      </w:r>
      <w:r w:rsidR="002C5FF7">
        <w:t>.</w:t>
      </w:r>
      <w:r w:rsidR="00303E5C">
        <w:t xml:space="preserve"> </w:t>
      </w:r>
      <w:r w:rsidR="002C5FF7">
        <w:t>ALT’s higher tissue alteration</w:t>
      </w:r>
      <w:r w:rsidR="00303E5C">
        <w:t xml:space="preserve"> has been </w:t>
      </w:r>
      <w:r w:rsidR="00973CF0">
        <w:t>linked to</w:t>
      </w:r>
      <w:r w:rsidR="002C5FF7">
        <w:t xml:space="preserve"> </w:t>
      </w:r>
      <w:r w:rsidR="00973CF0">
        <w:t xml:space="preserve">a </w:t>
      </w:r>
      <w:r w:rsidR="002C5FF7">
        <w:t>reduce</w:t>
      </w:r>
      <w:r w:rsidR="00303E5C">
        <w:t>d</w:t>
      </w:r>
      <w:r w:rsidR="002C5FF7">
        <w:t xml:space="preserve"> success rate </w:t>
      </w:r>
      <w:r w:rsidR="00973CF0">
        <w:t>in</w:t>
      </w:r>
      <w:r w:rsidR="002C5FF7">
        <w:t xml:space="preserve"> </w:t>
      </w:r>
      <w:r w:rsidR="00303E5C">
        <w:t>repeated</w:t>
      </w:r>
      <w:r w:rsidR="002C5FF7">
        <w:t xml:space="preserve"> </w:t>
      </w:r>
      <w:r w:rsidR="00303E5C">
        <w:t>procedures</w:t>
      </w:r>
      <w:r w:rsidR="002C5FF7">
        <w:t xml:space="preserve">. </w:t>
      </w:r>
      <w:r w:rsidR="00303E5C">
        <w:t>This stands in contrast to</w:t>
      </w:r>
      <w:r w:rsidR="002C5FF7">
        <w:t xml:space="preserve"> SLT,</w:t>
      </w:r>
      <w:r w:rsidR="00303E5C">
        <w:t xml:space="preserve"> which has been </w:t>
      </w:r>
      <w:r w:rsidR="00973CF0">
        <w:t>demonstrated to be more</w:t>
      </w:r>
      <w:r w:rsidR="00303E5C">
        <w:t xml:space="preserve"> effective with repeated procedures </w:t>
      </w:r>
      <w:r w:rsidR="00B5511D">
        <w:fldChar w:fldCharType="begin"/>
      </w:r>
      <w:r w:rsidR="001861FE">
        <w:instrText xml:space="preserve"> ADDIN ZOTERO_ITEM CSL_CITATION {"citationID":"xoK5q9IP","properties":{"formattedCitation":"(Gedde et al., 2021a)","plainCitation":"(Gedde et al., 2021a)","noteIndex":0},"citationItems":[{"id":218,"uris":["http://zotero.org/users/15573016/items/DKI5C5AE"],"itemData":{"id":218,"type":"article-journal","abstract":"BackgroundPrimary open angle glaucoma (POAG) is a chronic, progressive ocular disease causing loss of the optic nerve rim and retinal nerve fiber layer (RNFL) with associated visual field defects. The anterior chamber angle is open, and the disease is generally bilateral. Risk factors for POAG include older age, African race or Latino/Hispanic ethnicity, elevated intraocular pressure (IOP), family history of glaucoma, lower ocular perfusion pressure, type 2 diabetes mellitus, and thin central cornea. It is estimated that 53 million people in the world have POAG in 2020 with a prevalence of 3.0% in the population aged 40 to 80 years.","container-title":"Ophthalmology","DOI":"10.1016/j.ophtha.2020.10.022","ISSN":"0161-6420","issue":"1","note":"publisher: Elsevier","page":"P71-P150","title":"Primary Open-Angle Glaucoma Preferred Practice Pattern®","URL":"https://doi.org/10.1016/j.ophtha.2020.10.022","volume":"128","author":[{"family":"Gedde","given":"Steven J."},{"family":"Vinod","given":"Kateki"},{"family":"Wright","given":"Martha M."},{"family":"Muir","given":"Kelly W."},{"family":"Lind","given":"John T."},{"family":"Chen","given":"Philip P."},{"family":"Li","given":"Tianjing"},{"family":"Mansberger","given":"Steven L."}],"accessed":{"date-parts":[["2024",11,24]]},"issued":{"date-parts":[["2021",1,1]]},"citation-key":"gedde2021a"}}],"schema":"https://github.com/citation-style-language/schema/raw/master/csl-citation.json"} </w:instrText>
      </w:r>
      <w:r w:rsidR="00B5511D">
        <w:fldChar w:fldCharType="separate"/>
      </w:r>
      <w:r w:rsidR="001861FE">
        <w:rPr>
          <w:noProof/>
        </w:rPr>
        <w:t>(Gedde et al., 2021a)</w:t>
      </w:r>
      <w:r w:rsidR="00B5511D">
        <w:fldChar w:fldCharType="end"/>
      </w:r>
      <w:r w:rsidR="00B5511D">
        <w:t>.</w:t>
      </w:r>
      <w:r w:rsidR="00444169">
        <w:t xml:space="preserve"> </w:t>
      </w:r>
      <w:r w:rsidR="00B5511D">
        <w:t>EGS and AAO recommend</w:t>
      </w:r>
      <w:r w:rsidR="002C5FF7">
        <w:t xml:space="preserve"> SLT a</w:t>
      </w:r>
      <w:r w:rsidR="00B5511D">
        <w:t>s the</w:t>
      </w:r>
      <w:r w:rsidR="002C5FF7">
        <w:t xml:space="preserve"> preferred choice in POAG management.</w:t>
      </w:r>
      <w:r w:rsidR="00B5511D">
        <w:t xml:space="preserve"> </w:t>
      </w:r>
      <w:r w:rsidR="002C5FF7">
        <w:t xml:space="preserve">However, </w:t>
      </w:r>
      <w:r w:rsidR="00973CF0">
        <w:t xml:space="preserve">if </w:t>
      </w:r>
      <w:r w:rsidR="002C5FF7">
        <w:t>SLT is unavailable or unsuccessful, ALT can be considered as a management option.</w:t>
      </w:r>
      <w:r w:rsidR="00B5511D">
        <w:t xml:space="preserve"> </w:t>
      </w:r>
      <w:r w:rsidR="002C5FF7" w:rsidRPr="002C5FF7">
        <w:t>Both procedures are indicated for mild-to-moderate POAG</w:t>
      </w:r>
      <w:r w:rsidR="00B5511D">
        <w:t xml:space="preserve">. </w:t>
      </w:r>
    </w:p>
    <w:p w14:paraId="5D5B7E1F" w14:textId="77777777" w:rsidR="00C04E2A" w:rsidRDefault="00C04E2A" w:rsidP="00C04E2A">
      <w:pPr>
        <w:spacing w:line="360" w:lineRule="auto"/>
        <w:jc w:val="both"/>
      </w:pPr>
    </w:p>
    <w:p w14:paraId="3A591C33" w14:textId="27861189" w:rsidR="0064398A" w:rsidRDefault="00AF3326" w:rsidP="00C04E2A">
      <w:pPr>
        <w:spacing w:line="360" w:lineRule="auto"/>
        <w:jc w:val="both"/>
      </w:pPr>
      <w:r w:rsidRPr="00AF3326">
        <w:t xml:space="preserve">Laser trabeculoplasties are contraindicated in patients with angle-closure glaucoma, patients with active ocular infections, or significant angle abnormalities. </w:t>
      </w:r>
      <w:r w:rsidR="002C5FF7" w:rsidRPr="002C5FF7">
        <w:t xml:space="preserve">Caution should be exercised in selecting patients with marked pigmentation of the trabecular meshwork, given the increased risk of postoperative IOP spikes, particularly following ALT </w:t>
      </w:r>
      <w:r w:rsidR="0020696C">
        <w:fldChar w:fldCharType="begin"/>
      </w:r>
      <w:r w:rsidR="001861FE">
        <w:instrText xml:space="preserve"> ADDIN ZOTERO_ITEM CSL_CITATION {"citationID":"gvfkMrx8","properties":{"formattedCitation":"(Gedde et al., 2021a)","plainCitation":"(Gedde et al., 2021a)","noteIndex":0},"citationItems":[{"id":218,"uris":["http://zotero.org/users/15573016/items/DKI5C5AE"],"itemData":{"id":218,"type":"article-journal","abstract":"BackgroundPrimary open angle glaucoma (POAG) is a chronic, progressive ocular disease causing loss of the optic nerve rim and retinal nerve fiber layer (RNFL) with associated visual field defects. The anterior chamber angle is open, and the disease is generally bilateral. Risk factors for POAG include older age, African race or Latino/Hispanic ethnicity, elevated intraocular pressure (IOP), family history of glaucoma, lower ocular perfusion pressure, type 2 diabetes mellitus, and thin central cornea. It is estimated that 53 million people in the world have POAG in 2020 with a prevalence of 3.0% in the population aged 40 to 80 years.","container-title":"Ophthalmology","DOI":"10.1016/j.ophtha.2020.10.022","ISSN":"0161-6420","issue":"1","note":"publisher: Elsevier","page":"P71-P150","title":"Primary Open-Angle Glaucoma Preferred Practice Pattern®","URL":"https://doi.org/10.1016/j.ophtha.2020.10.022","volume":"128","author":[{"family":"Gedde","given":"Steven J."},{"family":"Vinod","given":"Kateki"},{"family":"Wright","given":"Martha M."},{"family":"Muir","given":"Kelly W."},{"family":"Lind","given":"John T."},{"family":"Chen","given":"Philip P."},{"family":"Li","given":"Tianjing"},{"family":"Mansberger","given":"Steven L."}],"accessed":{"date-parts":[["2024",11,24]]},"issued":{"date-parts":[["2021",1,1]]},"citation-key":"gedde2021a"}}],"schema":"https://github.com/citation-style-language/schema/raw/master/csl-citation.json"} </w:instrText>
      </w:r>
      <w:r w:rsidR="0020696C">
        <w:fldChar w:fldCharType="separate"/>
      </w:r>
      <w:r w:rsidR="001861FE">
        <w:rPr>
          <w:noProof/>
        </w:rPr>
        <w:t>(Gedde et al., 2021a)</w:t>
      </w:r>
      <w:r w:rsidR="0020696C">
        <w:fldChar w:fldCharType="end"/>
      </w:r>
      <w:r w:rsidR="002C5FF7" w:rsidRPr="002C5FF7">
        <w:t>.</w:t>
      </w:r>
      <w:bookmarkStart w:id="19" w:name="_Hlk212737515"/>
      <w:r w:rsidR="00444169">
        <w:t xml:space="preserve"> </w:t>
      </w:r>
      <w:r w:rsidR="0020696C">
        <w:t>I</w:t>
      </w:r>
      <w:r w:rsidR="002C5FF7">
        <w:t>OP reduction after SLT or ALT show</w:t>
      </w:r>
      <w:r w:rsidR="00973CF0">
        <w:t>ed</w:t>
      </w:r>
      <w:r w:rsidR="002C5FF7">
        <w:t xml:space="preserve"> similar results of 20–30% IOP reduction below baseline levels at 6 to 12 months </w:t>
      </w:r>
      <w:r w:rsidR="0020696C">
        <w:fldChar w:fldCharType="begin"/>
      </w:r>
      <w:r w:rsidR="0020696C">
        <w:instrText xml:space="preserve"> ADDIN ZOTERO_ITEM CSL_CITATION {"citationID":"K8b9R2et","properties":{"formattedCitation":"(Wang et al., 2013)","plainCitation":"(Wang et al., 2013)","noteIndex":0},"citationItems":[{"id":1526,"uris":["http://zotero.org/users/15573016/items/MBYBUI2A"],"itemData":{"id":1526,"type":"article-journal","container-title":"PLoS ONE","DOI":"10.1371/journal.pone.0084270","ISSN":"1932-6203","issue":"12","journalAbbreviation":"PLoS ONE","language":"en","page":"e84270","source":"DOI.org (Crossref)","title":"Selective Laser Trabeculoplasty versus Argon Laser Trabeculoplasty in Patients with Open-Angle Glaucoma: A Systematic Review and Meta-Analysis","title-short":"Selective Laser Trabeculoplasty versus Argon Laser Trabeculoplasty in Patients with Open-Angle Glaucoma","URL":"https://dx.plos.org/10.1371/journal.pone.0084270","volume":"8","author":[{"family":"Wang","given":"Wei"},{"family":"He","given":"Miao"},{"family":"Zhou","given":"Minwen"},{"family":"Zhang","given":"Xiulan"}],"editor":[{"family":"Vavvas","given":"Demetrios"}],"accessed":{"date-parts":[["2025",6,29]]},"issued":{"date-parts":[["2013",12,19]]},"citation-key":"wang2013"}}],"schema":"https://github.com/citation-style-language/schema/raw/master/csl-citation.json"} </w:instrText>
      </w:r>
      <w:r w:rsidR="0020696C">
        <w:fldChar w:fldCharType="separate"/>
      </w:r>
      <w:r w:rsidR="0020696C">
        <w:rPr>
          <w:noProof/>
        </w:rPr>
        <w:t>(Wang et al., 2013)</w:t>
      </w:r>
      <w:r w:rsidR="0020696C">
        <w:fldChar w:fldCharType="end"/>
      </w:r>
      <w:r w:rsidR="002C5FF7">
        <w:t xml:space="preserve">. </w:t>
      </w:r>
      <w:bookmarkEnd w:id="19"/>
      <w:r w:rsidR="002C5FF7">
        <w:t xml:space="preserve">The LiGHT trial demonstrated that approximately 75% of participants who received primary SLT maintained drug-free disease control </w:t>
      </w:r>
      <w:r w:rsidR="0020696C">
        <w:t>within</w:t>
      </w:r>
      <w:r w:rsidR="002C5FF7">
        <w:t xml:space="preserve"> three years</w:t>
      </w:r>
      <w:r w:rsidR="0020696C">
        <w:t xml:space="preserve"> </w:t>
      </w:r>
      <w:r w:rsidR="0020696C">
        <w:fldChar w:fldCharType="begin"/>
      </w:r>
      <w:r w:rsidR="0020696C">
        <w:instrText xml:space="preserve"> ADDIN ZOTERO_ITEM CSL_CITATION {"citationID":"OLlUQ8bm","properties":{"formattedCitation":"(Gazzard et al., 2019)","plainCitation":"(Gazzard et al., 2019)","noteIndex":0},"citationItems":[{"id":412,"uris":["http://zotero.org/users/15573016/items/TKBZQZ6I"],"itemData":{"id":412,"type":"article-journal","container-title":"The Lancet","DOI":"10.1016/S0140-6736(18)32213-X","ISSN":"01406736","issue":"10180","journalAbbreviation":"The Lancet","language":"en","page":"1505-1516","source":"DOI.org (Crossref)","title":"Selective laser trabeculoplasty versus eye drops for first-line treatment of ocular hypertension and glaucoma (LiGHT): a multicentre randomised controlled trial","title-short":"Selective laser trabeculoplasty versus eye drops for first-line treatment of ocular hypertension and glaucoma (LiGHT)","URL":"https://linkinghub.elsevier.com/retrieve/pii/S014067361832213X","volume":"393","author":[{"family":"Gazzard","given":"Gus"},{"family":"Konstantakopoulou","given":"Evgenia"},{"family":"Garway-Heath","given":"David"},{"family":"Garg","given":"Anurag"},{"family":"Vickerstaff","given":"Victoria"},{"family":"Hunter","given":"Rachael"},{"family":"Ambler","given":"Gareth"},{"family":"Bunce","given":"Catey"},{"family":"Wormald","given":"Richard"},{"family":"Nathwani","given":"Neil"},{"family":"Barton","given":"Keith"},{"family":"Rubin","given":"Gary"},{"family":"Buszewicz","given":"Marta"},{"family":"Ambler","given":"Gareth"},{"family":"Barton","given":"Keith"},{"family":"Bourne","given":"Rupert"},{"family":"Broadway","given":"David"},{"family":"Bunce","given":"Catey"},{"family":"Buszewicz","given":"Marta"},{"family":"Davis","given":"Amanda"},{"family":"Garg","given":"Anurag"},{"family":"Garway-Heath","given":"David"},{"family":"Gazzard","given":"Gus"},{"family":"Hunter","given":"Rachael"},{"family":"Jayaram","given":"Hari"},{"family":"Jiang","given":"Yuzhen"},{"family":"Konstantakopoulou","given":"Evgenia"},{"family":"Lim","given":"Sheng"},{"family":"Liput","given":"Joanna"},{"family":"Manners","given":"Timothy"},{"family":"Morris","given":"Stephen"},{"family":"Nathwani","given":"Neil"},{"family":"Rubin","given":"Gary"},{"family":"Strouthidis","given":"Nicholas"},{"family":"Vickerstaff","given":"Victoria"},{"family":"Wilson","given":"Sarah"},{"family":"Wormald","given":"Richard"},{"family":"Zhu","given":"Haogang"}],"accessed":{"date-parts":[["2025",2,5]]},"issued":{"date-parts":[["2019",4]]},"citation-key":"gazzard2019"}}],"schema":"https://github.com/citation-style-language/schema/raw/master/csl-citation.json"} </w:instrText>
      </w:r>
      <w:r w:rsidR="0020696C">
        <w:fldChar w:fldCharType="separate"/>
      </w:r>
      <w:r w:rsidR="0020696C">
        <w:rPr>
          <w:noProof/>
        </w:rPr>
        <w:t>(Gazzard et al., 2019)</w:t>
      </w:r>
      <w:r w:rsidR="0020696C">
        <w:fldChar w:fldCharType="end"/>
      </w:r>
      <w:r w:rsidR="002C5FF7">
        <w:t xml:space="preserve">. </w:t>
      </w:r>
      <w:r w:rsidR="0020696C">
        <w:t xml:space="preserve">The 2023 </w:t>
      </w:r>
      <w:r w:rsidR="002C5FF7">
        <w:t xml:space="preserve">published six-year follow-up showed that 69.8% </w:t>
      </w:r>
      <w:r w:rsidR="002C5FF7">
        <w:lastRenderedPageBreak/>
        <w:t xml:space="preserve">of eyes treated with SLT maintained target IOP without medication or surgical intervention </w:t>
      </w:r>
      <w:r w:rsidR="0020696C">
        <w:fldChar w:fldCharType="begin"/>
      </w:r>
      <w:r w:rsidR="0020696C">
        <w:instrText xml:space="preserve"> ADDIN ZOTERO_ITEM CSL_CITATION {"citationID":"UM7WowGM","properties":{"formattedCitation":"(Gazzard et al., 2023)","plainCitation":"(Gazzard et al., 2023)","noteIndex":0},"citationItems":[{"id":722,"uris":["http://zotero.org/users/15573016/items/Z46N5VTM"],"itemData":{"id":722,"type":"article-journal","abstract":"PURPOSE: The Laser in Glaucoma and Ocular Hypertension (LiGHT) Trial has shown selective laser trabeculoplasty (SLT) to be clinically and cost-effective as a primary treatment of open-angle glaucoma (OAG) and ocular hypertension (OHT) at 3 years. This article reports health-related quality of life (HRQoL) and clinical effectiveness of initial treatment with SLT compared with intraocular pressure (IOP)-lowering eye drops after 6 years of treatment.\nDESIGN: Prospective, multicenter randomized controlled trial.\nPARTICIPANTS: Treatment-naive eyes with OAG or OHT initially treated with SLT or IOP-lowering drops.\nMETHODS: Patients were allocated randomly to initial SLT or eye drops. After the initial 3 years of the trial, patients in the SLT arm were permitted a third SLT if necessary; patients in the drops arm were allowed SLT as a treatment switch or escalation. This study is registered at controlled-trials.com (identifier, ISRCTN32038223).\nMAIN OUTCOME MEASURES: The primary outcome was HRQoL at 6 years; secondary outcomes were clinical effectiveness and adverse events.\nRESULTS: Of the 692 patients completing 3 years in the LiGHT Trial, 633 patients (91.5%) entered the extension, and 524 patients completed 6 years in the trial (82.8% of those entering the extension phase). At 6 years, no significant differences were found for the EuroQol EQ-5D 5 Levels, Glaucoma Utility Index, and Glaucoma Quality of Life-15 (P &gt; 0.05 for all). The SLT arm showed better Glaucoma Symptom Scale scores than the drops arm (83.6 ± 18.1 vs. 81.3 ± 17.3, respectively). Of eyes in the SLT arm, 69.8% remained at or less than the target IOP without the need for medical or surgical treatment. More eyes in the drops arm exhibited disease progression (26.8% vs. 19.6%, respectively; P = 0.006). Trabeculectomy was required in 32 eyes in the drops arm compared with 13 eyes in the SLT arm (P &lt; 0.001); more cataract surgeries occurred in the drops arm (95 compared with 57 eyes; P = 0.03). No serious laser-related adverse events occurred.\nCONCLUSIONS: Selective laser trabeculoplasty is a safe treatment for OAG and OHT, providing better long-term disease control than initial drop therapy, with reduced need for incisional glaucoma and cataract surgery over 6 years.","container-title":"Ophthalmology","DOI":"10.1016/j.ophtha.2022.09.009","ISSN":"1549-4713","issue":"2","journalAbbreviation":"Ophthalmology","language":"eng","note":"PMID: 36122660","page":"139-151","source":"PubMed","title":"Laser in Glaucoma and Ocular Hypertension (LiGHT) Trial: Six-Year Results of Primary Selective Laser Trabeculoplasty versus Eye Drops for the Treatment of Glaucoma and Ocular Hypertension","title-short":"Laser in Glaucoma and Ocular Hypertension (LiGHT) Trial","volume":"130","author":[{"family":"Gazzard","given":"Gus"},{"family":"Konstantakopoulou","given":"Evgenia"},{"family":"Garway-Heath","given":"David"},{"family":"Adeleke","given":"Mariam"},{"family":"Vickerstaff","given":"Victoria"},{"family":"Ambler","given":"Gareth"},{"family":"Hunter","given":"Rachael"},{"family":"Bunce","given":"Catey"},{"family":"Nathwani","given":"Neil"},{"family":"Barton","given":"Keith"},{"literal":"LiGHT Trial Study Group"}],"issued":{"date-parts":[["2023",2]]},"citation-key":"gazzard2023a"}}],"schema":"https://github.com/citation-style-language/schema/raw/master/csl-citation.json"} </w:instrText>
      </w:r>
      <w:r w:rsidR="0020696C">
        <w:fldChar w:fldCharType="separate"/>
      </w:r>
      <w:r w:rsidR="0020696C">
        <w:rPr>
          <w:noProof/>
        </w:rPr>
        <w:t>(Gazzard et al., 2023)</w:t>
      </w:r>
      <w:r w:rsidR="0020696C">
        <w:fldChar w:fldCharType="end"/>
      </w:r>
      <w:r w:rsidR="002C5FF7">
        <w:t xml:space="preserve">. </w:t>
      </w:r>
      <w:r w:rsidR="0020696C">
        <w:t>Furthermore</w:t>
      </w:r>
      <w:r w:rsidR="002C5FF7">
        <w:t xml:space="preserve">, patients treated with SLT had lower rates of further surgical intervention, such as trabeculectomy, compared to those treated </w:t>
      </w:r>
      <w:r w:rsidR="0020696C">
        <w:t xml:space="preserve">only </w:t>
      </w:r>
      <w:r w:rsidR="002C5FF7">
        <w:t xml:space="preserve">medically </w:t>
      </w:r>
      <w:r w:rsidR="0020696C">
        <w:fldChar w:fldCharType="begin"/>
      </w:r>
      <w:r w:rsidR="0020696C">
        <w:instrText xml:space="preserve"> ADDIN ZOTERO_ITEM CSL_CITATION {"citationID":"mFOP2ZL3","properties":{"formattedCitation":"(Gazzard et al., 2023)","plainCitation":"(Gazzard et al., 2023)","noteIndex":0},"citationItems":[{"id":722,"uris":["http://zotero.org/users/15573016/items/Z46N5VTM"],"itemData":{"id":722,"type":"article-journal","abstract":"PURPOSE: The Laser in Glaucoma and Ocular Hypertension (LiGHT) Trial has shown selective laser trabeculoplasty (SLT) to be clinically and cost-effective as a primary treatment of open-angle glaucoma (OAG) and ocular hypertension (OHT) at 3 years. This article reports health-related quality of life (HRQoL) and clinical effectiveness of initial treatment with SLT compared with intraocular pressure (IOP)-lowering eye drops after 6 years of treatment.\nDESIGN: Prospective, multicenter randomized controlled trial.\nPARTICIPANTS: Treatment-naive eyes with OAG or OHT initially treated with SLT or IOP-lowering drops.\nMETHODS: Patients were allocated randomly to initial SLT or eye drops. After the initial 3 years of the trial, patients in the SLT arm were permitted a third SLT if necessary; patients in the drops arm were allowed SLT as a treatment switch or escalation. This study is registered at controlled-trials.com (identifier, ISRCTN32038223).\nMAIN OUTCOME MEASURES: The primary outcome was HRQoL at 6 years; secondary outcomes were clinical effectiveness and adverse events.\nRESULTS: Of the 692 patients completing 3 years in the LiGHT Trial, 633 patients (91.5%) entered the extension, and 524 patients completed 6 years in the trial (82.8% of those entering the extension phase). At 6 years, no significant differences were found for the EuroQol EQ-5D 5 Levels, Glaucoma Utility Index, and Glaucoma Quality of Life-15 (P &gt; 0.05 for all). The SLT arm showed better Glaucoma Symptom Scale scores than the drops arm (83.6 ± 18.1 vs. 81.3 ± 17.3, respectively). Of eyes in the SLT arm, 69.8% remained at or less than the target IOP without the need for medical or surgical treatment. More eyes in the drops arm exhibited disease progression (26.8% vs. 19.6%, respectively; P = 0.006). Trabeculectomy was required in 32 eyes in the drops arm compared with 13 eyes in the SLT arm (P &lt; 0.001); more cataract surgeries occurred in the drops arm (95 compared with 57 eyes; P = 0.03). No serious laser-related adverse events occurred.\nCONCLUSIONS: Selective laser trabeculoplasty is a safe treatment for OAG and OHT, providing better long-term disease control than initial drop therapy, with reduced need for incisional glaucoma and cataract surgery over 6 years.","container-title":"Ophthalmology","DOI":"10.1016/j.ophtha.2022.09.009","ISSN":"1549-4713","issue":"2","journalAbbreviation":"Ophthalmology","language":"eng","note":"PMID: 36122660","page":"139-151","source":"PubMed","title":"Laser in Glaucoma and Ocular Hypertension (LiGHT) Trial: Six-Year Results of Primary Selective Laser Trabeculoplasty versus Eye Drops for the Treatment of Glaucoma and Ocular Hypertension","title-short":"Laser in Glaucoma and Ocular Hypertension (LiGHT) Trial","volume":"130","author":[{"family":"Gazzard","given":"Gus"},{"family":"Konstantakopoulou","given":"Evgenia"},{"family":"Garway-Heath","given":"David"},{"family":"Adeleke","given":"Mariam"},{"family":"Vickerstaff","given":"Victoria"},{"family":"Ambler","given":"Gareth"},{"family":"Hunter","given":"Rachael"},{"family":"Bunce","given":"Catey"},{"family":"Nathwani","given":"Neil"},{"family":"Barton","given":"Keith"},{"literal":"LiGHT Trial Study Group"}],"issued":{"date-parts":[["2023",2]]},"citation-key":"gazzard2023a"}}],"schema":"https://github.com/citation-style-language/schema/raw/master/csl-citation.json"} </w:instrText>
      </w:r>
      <w:r w:rsidR="0020696C">
        <w:fldChar w:fldCharType="separate"/>
      </w:r>
      <w:r w:rsidR="0020696C">
        <w:rPr>
          <w:noProof/>
        </w:rPr>
        <w:t>(Gazzard et al., 2023)</w:t>
      </w:r>
      <w:r w:rsidR="0020696C">
        <w:fldChar w:fldCharType="end"/>
      </w:r>
      <w:r w:rsidR="002C5FF7">
        <w:t xml:space="preserve">. </w:t>
      </w:r>
      <w:bookmarkStart w:id="20" w:name="_Hlk212737788"/>
      <w:r w:rsidR="002C5FF7">
        <w:t>In contrast, ALT showed higher reoperation rates, with 30–50% of eyes requiring surgical intervention within five years</w:t>
      </w:r>
      <w:bookmarkEnd w:id="20"/>
      <w:r w:rsidR="002C5FF7">
        <w:t xml:space="preserve"> </w:t>
      </w:r>
      <w:r w:rsidR="0020696C">
        <w:fldChar w:fldCharType="begin"/>
      </w:r>
      <w:r w:rsidR="001861FE">
        <w:instrText xml:space="preserve"> ADDIN ZOTERO_ITEM CSL_CITATION {"citationID":"bTd6uack","properties":{"formattedCitation":"(Gedde et al., 2021b; Wang et al., 2013)","plainCitation":"(Gedde et al., 2021b; Wang et al., 2013)","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L."}],"accessed":{"date-parts":[["2025",10,30]]},"issued":{"date-parts":[["2021",1]]},"citation-key":"gedde2021ai"}},{"id":1526,"uris":["http://zotero.org/users/15573016/items/MBYBUI2A"],"itemData":{"id":1526,"type":"article-journal","container-title":"PLoS ONE","DOI":"10.1371/journal.pone.0084270","ISSN":"1932-6203","issue":"12","journalAbbreviation":"PLoS ONE","language":"en","page":"e84270","source":"DOI.org (Crossref)","title":"Selective Laser Trabeculoplasty versus Argon Laser Trabeculoplasty in Patients with Open-Angle Glaucoma: A Systematic Review and Meta-Analysis","title-short":"Selective Laser Trabeculoplasty versus Argon Laser Trabeculoplasty in Patients with Open-Angle Glaucoma","URL":"https://dx.plos.org/10.1371/journal.pone.0084270","volume":"8","author":[{"family":"Wang","given":"Wei"},{"family":"He","given":"Miao"},{"family":"Zhou","given":"Minwen"},{"family":"Zhang","given":"Xiulan"}],"editor":[{"family":"Vavvas","given":"Demetrios"}],"accessed":{"date-parts":[["2025",6,29]]},"issued":{"date-parts":[["2013",12,19]]},"citation-key":"wang2013"}}],"schema":"https://github.com/citation-style-language/schema/raw/master/csl-citation.json"} </w:instrText>
      </w:r>
      <w:r w:rsidR="0020696C">
        <w:fldChar w:fldCharType="separate"/>
      </w:r>
      <w:r w:rsidR="001861FE">
        <w:rPr>
          <w:noProof/>
        </w:rPr>
        <w:t>(Gedde et al., 2021b; Wang et al., 2013)</w:t>
      </w:r>
      <w:r w:rsidR="0020696C">
        <w:fldChar w:fldCharType="end"/>
      </w:r>
      <w:r w:rsidR="00ED6618">
        <w:t>.</w:t>
      </w:r>
      <w:bookmarkStart w:id="21" w:name="_Hlk212738639"/>
    </w:p>
    <w:p w14:paraId="68E1B169" w14:textId="77777777" w:rsidR="00C04E2A" w:rsidRDefault="00C04E2A" w:rsidP="00C04E2A">
      <w:pPr>
        <w:spacing w:line="360" w:lineRule="auto"/>
        <w:jc w:val="both"/>
      </w:pPr>
    </w:p>
    <w:p w14:paraId="2CE6C5BA" w14:textId="1D8E298C" w:rsidR="001861FE" w:rsidRDefault="008C1FC9" w:rsidP="00C04E2A">
      <w:pPr>
        <w:spacing w:line="360" w:lineRule="auto"/>
        <w:jc w:val="both"/>
      </w:pPr>
      <w:r>
        <w:t>Postoperative complications after SLT and ALT</w:t>
      </w:r>
      <w:r w:rsidR="00C04E2A">
        <w:t xml:space="preserve"> </w:t>
      </w:r>
      <w:r w:rsidR="00BE5B2D">
        <w:t>(</w:t>
      </w:r>
      <w:r w:rsidR="00BE5B2D" w:rsidRPr="00BE5B2D">
        <w:rPr>
          <w:i/>
          <w:iCs/>
        </w:rPr>
        <w:fldChar w:fldCharType="begin"/>
      </w:r>
      <w:r w:rsidR="00BE5B2D" w:rsidRPr="00BE5B2D">
        <w:rPr>
          <w:i/>
          <w:iCs/>
        </w:rPr>
        <w:instrText xml:space="preserve"> REF _Ref213182039 \h </w:instrText>
      </w:r>
      <w:r w:rsidR="00BE5B2D" w:rsidRPr="00BE5B2D">
        <w:rPr>
          <w:i/>
          <w:iCs/>
        </w:rPr>
      </w:r>
      <w:r w:rsidR="00BE5B2D" w:rsidRPr="00BE5B2D">
        <w:rPr>
          <w:i/>
          <w:iCs/>
        </w:rPr>
        <w:instrText xml:space="preserve"> \* MERGEFORMAT </w:instrText>
      </w:r>
      <w:r w:rsidR="00BE5B2D" w:rsidRPr="00BE5B2D">
        <w:rPr>
          <w:i/>
          <w:iCs/>
        </w:rPr>
        <w:fldChar w:fldCharType="separate"/>
      </w:r>
      <w:r w:rsidR="00BE5B2D" w:rsidRPr="00BE5B2D">
        <w:rPr>
          <w:i/>
          <w:iCs/>
        </w:rPr>
        <w:t xml:space="preserve">Table </w:t>
      </w:r>
      <w:r w:rsidR="00BE5B2D" w:rsidRPr="00BE5B2D">
        <w:rPr>
          <w:i/>
          <w:iCs/>
          <w:noProof/>
        </w:rPr>
        <w:t>1</w:t>
      </w:r>
      <w:r w:rsidR="00BE5B2D" w:rsidRPr="00BE5B2D">
        <w:rPr>
          <w:i/>
          <w:iCs/>
        </w:rPr>
        <w:fldChar w:fldCharType="end"/>
      </w:r>
      <w:r w:rsidR="00BE5B2D">
        <w:t>)</w:t>
      </w:r>
      <w:r>
        <w:t xml:space="preserve"> are primarily influenced by the degree of thermal energy delivered and the induced tissue injury </w:t>
      </w:r>
      <w:r>
        <w:fldChar w:fldCharType="begin"/>
      </w:r>
      <w:r>
        <w:instrText xml:space="preserve"> ADDIN ZOTERO_ITEM CSL_CITATION {"citationID":"kQgWuvfm","properties":{"formattedCitation":"(Gazzard et al., 2019)","plainCitation":"(Gazzard et al., 2019)","noteIndex":0},"citationItems":[{"id":412,"uris":["http://zotero.org/users/15573016/items/TKBZQZ6I"],"itemData":{"id":412,"type":"article-journal","container-title":"The Lancet","DOI":"10.1016/S0140-6736(18)32213-X","ISSN":"01406736","issue":"10180","journalAbbreviation":"The Lancet","language":"en","page":"1505-1516","source":"DOI.org (Crossref)","title":"Selective laser trabeculoplasty versus eye drops for first-line treatment of ocular hypertension and glaucoma (LiGHT): a multicentre randomised controlled trial","title-short":"Selective laser trabeculoplasty versus eye drops for first-line treatment of ocular hypertension and glaucoma (LiGHT)","URL":"https://linkinghub.elsevier.com/retrieve/pii/S014067361832213X","volume":"393","author":[{"family":"Gazzard","given":"Gus"},{"family":"Konstantakopoulou","given":"Evgenia"},{"family":"Garway-Heath","given":"David"},{"family":"Garg","given":"Anurag"},{"family":"Vickerstaff","given":"Victoria"},{"family":"Hunter","given":"Rachael"},{"family":"Ambler","given":"Gareth"},{"family":"Bunce","given":"Catey"},{"family":"Wormald","given":"Richard"},{"family":"Nathwani","given":"Neil"},{"family":"Barton","given":"Keith"},{"family":"Rubin","given":"Gary"},{"family":"Buszewicz","given":"Marta"},{"family":"Ambler","given":"Gareth"},{"family":"Barton","given":"Keith"},{"family":"Bourne","given":"Rupert"},{"family":"Broadway","given":"David"},{"family":"Bunce","given":"Catey"},{"family":"Buszewicz","given":"Marta"},{"family":"Davis","given":"Amanda"},{"family":"Garg","given":"Anurag"},{"family":"Garway-Heath","given":"David"},{"family":"Gazzard","given":"Gus"},{"family":"Hunter","given":"Rachael"},{"family":"Jayaram","given":"Hari"},{"family":"Jiang","given":"Yuzhen"},{"family":"Konstantakopoulou","given":"Evgenia"},{"family":"Lim","given":"Sheng"},{"family":"Liput","given":"Joanna"},{"family":"Manners","given":"Timothy"},{"family":"Morris","given":"Stephen"},{"family":"Nathwani","given":"Neil"},{"family":"Rubin","given":"Gary"},{"family":"Strouthidis","given":"Nicholas"},{"family":"Vickerstaff","given":"Victoria"},{"family":"Wilson","given":"Sarah"},{"family":"Wormald","given":"Richard"},{"family":"Zhu","given":"Haogang"}],"accessed":{"date-parts":[["2025",2,5]]},"issued":{"date-parts":[["2019",4]]},"citation-key":"gazzard2019"}}],"schema":"https://github.com/citation-style-language/schema/raw/master/csl-citation.json"} </w:instrText>
      </w:r>
      <w:r>
        <w:fldChar w:fldCharType="separate"/>
      </w:r>
      <w:r>
        <w:rPr>
          <w:noProof/>
        </w:rPr>
        <w:t>(Gazzard et al., 2019)</w:t>
      </w:r>
      <w:r>
        <w:fldChar w:fldCharType="end"/>
      </w:r>
      <w:bookmarkEnd w:id="21"/>
      <w:r>
        <w:t>.</w:t>
      </w:r>
      <w:r w:rsidR="00444169">
        <w:t xml:space="preserve"> </w:t>
      </w:r>
      <w:r w:rsidR="001861FE">
        <w:t>Early postoperative complications (≤ 90 days) </w:t>
      </w:r>
      <w:r>
        <w:t xml:space="preserve">are </w:t>
      </w:r>
      <w:r w:rsidR="00470F06">
        <w:t xml:space="preserve">characterized by a </w:t>
      </w:r>
      <w:r w:rsidR="001861FE">
        <w:t>short-term inflammatory</w:t>
      </w:r>
      <w:r w:rsidR="00470F06">
        <w:t xml:space="preserve"> reaction</w:t>
      </w:r>
      <w:r w:rsidR="001861FE">
        <w:t xml:space="preserve"> </w:t>
      </w:r>
      <w:r w:rsidR="00470F06">
        <w:t>and its influence on</w:t>
      </w:r>
      <w:r w:rsidR="001861FE">
        <w:t xml:space="preserve"> </w:t>
      </w:r>
      <w:r w:rsidR="00470F06">
        <w:t>intraocular pressure</w:t>
      </w:r>
      <w:r w:rsidR="001861FE">
        <w:t>. The most common</w:t>
      </w:r>
      <w:r w:rsidR="00470F06">
        <w:t>ly reported postoperative</w:t>
      </w:r>
      <w:r w:rsidR="001861FE">
        <w:t xml:space="preserve"> event following SLT is transient </w:t>
      </w:r>
      <w:r w:rsidR="00470F06">
        <w:t xml:space="preserve">ocular </w:t>
      </w:r>
      <w:r w:rsidR="001861FE">
        <w:t>discomfort, blurred vision, photophobia, and hyperemia</w:t>
      </w:r>
      <w:r w:rsidR="00470F06">
        <w:t xml:space="preserve">. </w:t>
      </w:r>
      <w:r w:rsidR="00973CF0">
        <w:t>This</w:t>
      </w:r>
      <w:r w:rsidR="00470F06">
        <w:t xml:space="preserve"> </w:t>
      </w:r>
      <w:r w:rsidR="001861FE">
        <w:t>occurr</w:t>
      </w:r>
      <w:r w:rsidR="00470F06">
        <w:t>ed</w:t>
      </w:r>
      <w:r w:rsidR="001861FE">
        <w:t xml:space="preserve"> in approximately 34.4% of cases </w:t>
      </w:r>
      <w:r w:rsidR="00ED6618">
        <w:fldChar w:fldCharType="begin"/>
      </w:r>
      <w:r w:rsidR="00ED6618">
        <w:instrText xml:space="preserve"> ADDIN ZOTERO_ITEM CSL_CITATION {"citationID":"CpxiQEow","properties":{"formattedCitation":"(Gazzard et al., 2019)","plainCitation":"(Gazzard et al., 2019)","noteIndex":0},"citationItems":[{"id":412,"uris":["http://zotero.org/users/15573016/items/TKBZQZ6I"],"itemData":{"id":412,"type":"article-journal","container-title":"The Lancet","DOI":"10.1016/S0140-6736(18)32213-X","ISSN":"01406736","issue":"10180","journalAbbreviation":"The Lancet","language":"en","page":"1505-1516","source":"DOI.org (Crossref)","title":"Selective laser trabeculoplasty versus eye drops for first-line treatment of ocular hypertension and glaucoma (LiGHT): a multicentre randomised controlled trial","title-short":"Selective laser trabeculoplasty versus eye drops for first-line treatment of ocular hypertension and glaucoma (LiGHT)","URL":"https://linkinghub.elsevier.com/retrieve/pii/S014067361832213X","volume":"393","author":[{"family":"Gazzard","given":"Gus"},{"family":"Konstantakopoulou","given":"Evgenia"},{"family":"Garway-Heath","given":"David"},{"family":"Garg","given":"Anurag"},{"family":"Vickerstaff","given":"Victoria"},{"family":"Hunter","given":"Rachael"},{"family":"Ambler","given":"Gareth"},{"family":"Bunce","given":"Catey"},{"family":"Wormald","given":"Richard"},{"family":"Nathwani","given":"Neil"},{"family":"Barton","given":"Keith"},{"family":"Rubin","given":"Gary"},{"family":"Buszewicz","given":"Marta"},{"family":"Ambler","given":"Gareth"},{"family":"Barton","given":"Keith"},{"family":"Bourne","given":"Rupert"},{"family":"Broadway","given":"David"},{"family":"Bunce","given":"Catey"},{"family":"Buszewicz","given":"Marta"},{"family":"Davis","given":"Amanda"},{"family":"Garg","given":"Anurag"},{"family":"Garway-Heath","given":"David"},{"family":"Gazzard","given":"Gus"},{"family":"Hunter","given":"Rachael"},{"family":"Jayaram","given":"Hari"},{"family":"Jiang","given":"Yuzhen"},{"family":"Konstantakopoulou","given":"Evgenia"},{"family":"Lim","given":"Sheng"},{"family":"Liput","given":"Joanna"},{"family":"Manners","given":"Timothy"},{"family":"Morris","given":"Stephen"},{"family":"Nathwani","given":"Neil"},{"family":"Rubin","given":"Gary"},{"family":"Strouthidis","given":"Nicholas"},{"family":"Vickerstaff","given":"Victoria"},{"family":"Wilson","given":"Sarah"},{"family":"Wormald","given":"Richard"},{"family":"Zhu","given":"Haogang"}],"accessed":{"date-parts":[["2025",2,5]]},"issued":{"date-parts":[["2019",4]]},"citation-key":"gazzard2019"}}],"schema":"https://github.com/citation-style-language/schema/raw/master/csl-citation.json"} </w:instrText>
      </w:r>
      <w:r w:rsidR="00ED6618">
        <w:fldChar w:fldCharType="separate"/>
      </w:r>
      <w:r w:rsidR="00ED6618">
        <w:rPr>
          <w:noProof/>
        </w:rPr>
        <w:t>(Gazzard et al., 2019)</w:t>
      </w:r>
      <w:r w:rsidR="00ED6618">
        <w:fldChar w:fldCharType="end"/>
      </w:r>
      <w:r w:rsidR="00ED6618">
        <w:t>.</w:t>
      </w:r>
      <w:r w:rsidR="001861FE">
        <w:t xml:space="preserve"> These symptoms </w:t>
      </w:r>
      <w:r w:rsidR="00ED6618">
        <w:t>can be explained by</w:t>
      </w:r>
      <w:r w:rsidR="001861FE">
        <w:t xml:space="preserve"> </w:t>
      </w:r>
      <w:r w:rsidR="00470F06">
        <w:t>the laser-induced</w:t>
      </w:r>
      <w:r w:rsidR="001861FE">
        <w:t xml:space="preserve"> mild anterior segment </w:t>
      </w:r>
      <w:r w:rsidR="00470F06">
        <w:t>inflammation</w:t>
      </w:r>
      <w:r w:rsidR="005B4B0D">
        <w:t xml:space="preserve"> </w:t>
      </w:r>
      <w:r w:rsidR="005B4B0D">
        <w:fldChar w:fldCharType="begin"/>
      </w:r>
      <w:r w:rsidR="005B4B0D">
        <w:instrText xml:space="preserve"> ADDIN ZOTERO_ITEM CSL_CITATION {"citationID":"VG9iLs9t","properties":{"formattedCitation":"(De Keyser et al., 2017)","plainCitation":"(De Keyser et al., 2017)","noteIndex":0},"citationItems":[{"id":2303,"uris":["http://zotero.org/users/15573016/items/4U8BND37"],"itemData":{"id":2303,"type":"article-journal","abstract":"Purpose:\n              Evaluating the use of Indomethacin, Dexamethasone, and no anti-inflammatory treatment immediately after selective laser trabeculoplasty (SLT).\n            \n            \n              Materials and Methods:\n              Prospective randomized clinical trial of 132 eyes. Both eyes of the patient underwent SLT. One of the eyes was treated with Indomethacin 0.1% or Dexamethasone 0.1% 3 times daily for 1 week; the other eye did not receive any anti-inflammatory treatment. Intraocular pressure (IOP) and inflammatory parameters were recorded at 1 hour, 1 week, 1, 3, and 6 months.\n            \n            \n              Results:\n              Cells in the anterior chamber were present in 57% to 71% of the patients after 1 hour. About 16% to 37% of the patients reported pain/discomfort after 1 hour. Redness was present before SLT in 29% to 34% of the patients, probably due to antiglaucoma medication. After 1 hour, the amount of redness recorded raised to 32% to 42%, but the amount of patients with redness returned to pretreatment levels after 1 week. An IOP peak of &gt;5 mm Hg above baseline IOP 1 hour after laser was present in 3% to 9% of the patients. IOP lowered 11% to 21% compared with IOP at baseline. The number of medications needed changed from 1.45 to 1.49 before, to 0.23 to 0.45 six months after SLT.\n              No differential effects based on the kind of anti-inflammatory treatment or no treatment were found for any of the parameters.\n            \n            \n              Conclusions:\n              SLT induces little inflammation: anti-inflammatory drops do not make a significant difference in pain, redness, cells in anterior chamber, or peak IOP following SLT.\n              The IOP-lowering effect of the SLT is not influenced by the use of Indomethacin or Dexamethasone.","container-title":"Journal of Glaucoma","DOI":"10.1097/IJG.0000000000000522","ISSN":"1057-0829","issue":"2","language":"en","page":"e22-e29","source":"DOI.org (Crossref)","title":"Randomized Prospective Study of the Use of Anti-Inflammatory Drops After Selective Laser Trabeculoplasty","URL":"https://journals.lww.com/00061198-201702000-00018","volume":"26","author":[{"family":"De Keyser","given":"Myrjam"},{"family":"De Belder","given":"Maya"},{"family":"De Groot","given":"Veva"}],"accessed":{"date-parts":[["2025",10,30]]},"issued":{"date-parts":[["2017",2]]},"citation-key":"dekeyser2017"}}],"schema":"https://github.com/citation-style-language/schema/raw/master/csl-citation.json"} </w:instrText>
      </w:r>
      <w:r w:rsidR="005B4B0D">
        <w:fldChar w:fldCharType="separate"/>
      </w:r>
      <w:r w:rsidR="005B4B0D">
        <w:rPr>
          <w:noProof/>
        </w:rPr>
        <w:t>(De Keyser et al., 2017)</w:t>
      </w:r>
      <w:r w:rsidR="005B4B0D">
        <w:fldChar w:fldCharType="end"/>
      </w:r>
      <w:r w:rsidR="00ED6618">
        <w:t>.</w:t>
      </w:r>
      <w:r w:rsidR="001861FE">
        <w:t> Transient intraocular pressure (IOP) spikes</w:t>
      </w:r>
      <w:r w:rsidR="005B4B0D">
        <w:t xml:space="preserve"> were </w:t>
      </w:r>
      <w:r w:rsidR="00470F06">
        <w:t>reported</w:t>
      </w:r>
      <w:r w:rsidR="001861FE">
        <w:t xml:space="preserve"> in 1.7% of SLT</w:t>
      </w:r>
      <w:r w:rsidR="005B4B0D">
        <w:t xml:space="preserve"> </w:t>
      </w:r>
      <w:r w:rsidR="005B4B0D">
        <w:fldChar w:fldCharType="begin"/>
      </w:r>
      <w:r w:rsidR="005B4B0D">
        <w:instrText xml:space="preserve"> ADDIN ZOTERO_ITEM CSL_CITATION {"citationID":"2qIpxNGP","properties":{"formattedCitation":"(Gazzard et al., 2019)","plainCitation":"(Gazzard et al., 2019)","noteIndex":0},"citationItems":[{"id":412,"uris":["http://zotero.org/users/15573016/items/TKBZQZ6I"],"itemData":{"id":412,"type":"article-journal","container-title":"The Lancet","DOI":"10.1016/S0140-6736(18)32213-X","ISSN":"01406736","issue":"10180","journalAbbreviation":"The Lancet","language":"en","page":"1505-1516","source":"DOI.org (Crossref)","title":"Selective laser trabeculoplasty versus eye drops for first-line treatment of ocular hypertension and glaucoma (LiGHT): a multicentre randomised controlled trial","title-short":"Selective laser trabeculoplasty versus eye drops for first-line treatment of ocular hypertension and glaucoma (LiGHT)","URL":"https://linkinghub.elsevier.com/retrieve/pii/S014067361832213X","volume":"393","author":[{"family":"Gazzard","given":"Gus"},{"family":"Konstantakopoulou","given":"Evgenia"},{"family":"Garway-Heath","given":"David"},{"family":"Garg","given":"Anurag"},{"family":"Vickerstaff","given":"Victoria"},{"family":"Hunter","given":"Rachael"},{"family":"Ambler","given":"Gareth"},{"family":"Bunce","given":"Catey"},{"family":"Wormald","given":"Richard"},{"family":"Nathwani","given":"Neil"},{"family":"Barton","given":"Keith"},{"family":"Rubin","given":"Gary"},{"family":"Buszewicz","given":"Marta"},{"family":"Ambler","given":"Gareth"},{"family":"Barton","given":"Keith"},{"family":"Bourne","given":"Rupert"},{"family":"Broadway","given":"David"},{"family":"Bunce","given":"Catey"},{"family":"Buszewicz","given":"Marta"},{"family":"Davis","given":"Amanda"},{"family":"Garg","given":"Anurag"},{"family":"Garway-Heath","given":"David"},{"family":"Gazzard","given":"Gus"},{"family":"Hunter","given":"Rachael"},{"family":"Jayaram","given":"Hari"},{"family":"Jiang","given":"Yuzhen"},{"family":"Konstantakopoulou","given":"Evgenia"},{"family":"Lim","given":"Sheng"},{"family":"Liput","given":"Joanna"},{"family":"Manners","given":"Timothy"},{"family":"Morris","given":"Stephen"},{"family":"Nathwani","given":"Neil"},{"family":"Rubin","given":"Gary"},{"family":"Strouthidis","given":"Nicholas"},{"family":"Vickerstaff","given":"Victoria"},{"family":"Wilson","given":"Sarah"},{"family":"Wormald","given":"Richard"},{"family":"Zhu","given":"Haogang"}],"accessed":{"date-parts":[["2025",2,5]]},"issued":{"date-parts":[["2019",4]]},"citation-key":"gazzard2019"}}],"schema":"https://github.com/citation-style-language/schema/raw/master/csl-citation.json"} </w:instrText>
      </w:r>
      <w:r w:rsidR="005B4B0D">
        <w:fldChar w:fldCharType="separate"/>
      </w:r>
      <w:r w:rsidR="005B4B0D">
        <w:rPr>
          <w:noProof/>
        </w:rPr>
        <w:t>(Gazzard et al., 2019)</w:t>
      </w:r>
      <w:r w:rsidR="005B4B0D">
        <w:fldChar w:fldCharType="end"/>
      </w:r>
      <w:r w:rsidR="001861FE">
        <w:t xml:space="preserve"> and up to 12% of ALT treatments</w:t>
      </w:r>
      <w:r w:rsidR="005B4B0D">
        <w:t xml:space="preserve"> </w:t>
      </w:r>
      <w:r w:rsidR="005B4B0D">
        <w:fldChar w:fldCharType="begin"/>
      </w:r>
      <w:r w:rsidR="005B4B0D">
        <w:instrText xml:space="preserve"> ADDIN ZOTERO_ITEM CSL_CITATION {"citationID":"7XG4eFEw","properties":{"formattedCitation":"(Feldman et al., 1991, p. 19)","plainCitation":"(Feldman et al., 1991, p. 19)","noteIndex":0},"citationItems":[{"id":1762,"uris":["http://zotero.org/users/15573016/items/72V3ICYW"],"itemData":{"id":1762,"type":"article-journal","container-title":"Ophthalmology","DOI":"10.1016/S0161-6420(91)32176-6","ISSN":"01616420","issue":"7","journalAbbreviation":"Ophthalmology","language":"en","license":"https://www.elsevier.com/tdm/userlicense/1.0/","page":"1061-1065","source":"DOI.org (Crossref)","title":"Long-term Efficacy of Repeat Argon Laser Trabeculoplasty","URL":"https://linkinghub.elsevier.com/retrieve/pii/S0161642091321766","volume":"98","author":[{"family":"Feldman","given":"Robert M."},{"family":"Katz","given":"L. Jay"},{"family":"Spaeth","given":"George L."},{"family":"Crapotta","given":"Joseph A."},{"family":"Fahmy","given":"Iman A."},{"family":"Ali","given":"Moones A."}],"accessed":{"date-parts":[["2025",7,1]]},"issued":{"date-parts":[["1991",7]]},"citation-key":"feldman1991"},"locator":"19"}],"schema":"https://github.com/citation-style-language/schema/raw/master/csl-citation.json"} </w:instrText>
      </w:r>
      <w:r w:rsidR="005B4B0D">
        <w:fldChar w:fldCharType="separate"/>
      </w:r>
      <w:r w:rsidR="005B4B0D">
        <w:rPr>
          <w:noProof/>
        </w:rPr>
        <w:t>(Feldman et al., 1991, p. 19)</w:t>
      </w:r>
      <w:r w:rsidR="005B4B0D">
        <w:fldChar w:fldCharType="end"/>
      </w:r>
      <w:r w:rsidR="005B4B0D">
        <w:t>. Th</w:t>
      </w:r>
      <w:r w:rsidR="00587630">
        <w:t>e</w:t>
      </w:r>
      <w:r w:rsidR="005B4B0D">
        <w:t xml:space="preserve">se IOP spikes </w:t>
      </w:r>
      <w:r w:rsidR="00470F06">
        <w:t>have been linked to</w:t>
      </w:r>
      <w:r w:rsidR="001861FE">
        <w:t xml:space="preserve"> temporary obstruction of the trabecular channels by pigment granules and cellular debris</w:t>
      </w:r>
      <w:r w:rsidR="00470F06">
        <w:t>, which are</w:t>
      </w:r>
      <w:r w:rsidR="001861FE">
        <w:t xml:space="preserve"> </w:t>
      </w:r>
      <w:r w:rsidR="005B4B0D">
        <w:t>released</w:t>
      </w:r>
      <w:r w:rsidR="001861FE">
        <w:t xml:space="preserve"> during photostimulation. </w:t>
      </w:r>
      <w:r w:rsidR="00587630">
        <w:t>This was</w:t>
      </w:r>
      <w:r w:rsidR="001861FE">
        <w:t xml:space="preserve"> generally self-limited</w:t>
      </w:r>
      <w:r w:rsidR="00470F06">
        <w:t xml:space="preserve">. It has been reported that IOP spikes occur more frequently in patients with </w:t>
      </w:r>
      <w:r w:rsidR="001861FE">
        <w:t>heavily pigmented or advanced glaucomatous eyes</w:t>
      </w:r>
      <w:r w:rsidR="005B4B0D">
        <w:t xml:space="preserve"> </w:t>
      </w:r>
      <w:r w:rsidR="00097795">
        <w:fldChar w:fldCharType="begin"/>
      </w:r>
      <w:r w:rsidR="00097795">
        <w:instrText xml:space="preserve"> ADDIN ZOTERO_ITEM CSL_CITATION {"citationID":"s0ltgWrE","properties":{"formattedCitation":"(Gedde et al., 2021a)","plainCitation":"(Gedde et al., 2021a)","noteIndex":0},"citationItems":[{"id":218,"uris":["http://zotero.org/users/15573016/items/DKI5C5AE"],"itemData":{"id":218,"type":"article-journal","abstract":"BackgroundPrimary open angle glaucoma (POAG) is a chronic, progressive ocular disease causing loss of the optic nerve rim and retinal nerve fiber layer (RNFL) with associated visual field defects. The anterior chamber angle is open, and the disease is generally bilateral. Risk factors for POAG include older age, African race or Latino/Hispanic ethnicity, elevated intraocular pressure (IOP), family history of glaucoma, lower ocular perfusion pressure, type 2 diabetes mellitus, and thin central cornea. It is estimated that 53 million people in the world have POAG in 2020 with a prevalence of 3.0% in the population aged 40 to 80 years.","container-title":"Ophthalmology","DOI":"10.1016/j.ophtha.2020.10.022","ISSN":"0161-6420","issue":"1","note":"publisher: Elsevier","page":"P71-P150","title":"Primary Open-Angle Glaucoma Preferred Practice Pattern®","URL":"https://doi.org/10.1016/j.ophtha.2020.10.022","volume":"128","author":[{"family":"Gedde","given":"Steven J."},{"family":"Vinod","given":"Kateki"},{"family":"Wright","given":"Martha M."},{"family":"Muir","given":"Kelly W."},{"family":"Lind","given":"John T."},{"family":"Chen","given":"Philip P."},{"family":"Li","given":"Tianjing"},{"family":"Mansberger","given":"Steven L."}],"accessed":{"date-parts":[["2024",11,24]]},"issued":{"date-parts":[["2021",1,1]]},"citation-key":"gedde2021a"}}],"schema":"https://github.com/citation-style-language/schema/raw/master/csl-citation.json"} </w:instrText>
      </w:r>
      <w:r w:rsidR="00097795">
        <w:fldChar w:fldCharType="separate"/>
      </w:r>
      <w:r w:rsidR="00097795">
        <w:rPr>
          <w:noProof/>
        </w:rPr>
        <w:t>(Gedde et al., 2021a)</w:t>
      </w:r>
      <w:r w:rsidR="00097795">
        <w:fldChar w:fldCharType="end"/>
      </w:r>
      <w:r w:rsidR="001861FE">
        <w:t>.</w:t>
      </w:r>
      <w:r w:rsidR="00470F06">
        <w:t xml:space="preserve"> </w:t>
      </w:r>
      <w:r w:rsidR="001861FE">
        <w:t>Other early complications includ</w:t>
      </w:r>
      <w:r w:rsidR="00470F06">
        <w:t>e</w:t>
      </w:r>
      <w:r w:rsidR="001861FE">
        <w:t> microhyphema, corneal edema, or bleeding within the anterior chamber angle</w:t>
      </w:r>
      <w:r w:rsidR="005B4B0D">
        <w:t>. Th</w:t>
      </w:r>
      <w:r w:rsidR="00587630">
        <w:t>e</w:t>
      </w:r>
      <w:r w:rsidR="005B4B0D">
        <w:t xml:space="preserve">se complications </w:t>
      </w:r>
      <w:r w:rsidR="001861FE">
        <w:t xml:space="preserve">occur infrequently (&lt;0.2%) and are rarely vision-threatening </w:t>
      </w:r>
      <w:r w:rsidR="00097795">
        <w:fldChar w:fldCharType="begin"/>
      </w:r>
      <w:r w:rsidR="00097795">
        <w:instrText xml:space="preserve"> ADDIN ZOTERO_ITEM CSL_CITATION {"citationID":"xsKno2lA","properties":{"formattedCitation":"(Ojanen et al., 2025)","plainCitation":"(Ojanen et al., 2025)","noteIndex":0},"citationItems":[{"id":1758,"uris":["http://zotero.org/users/15573016/items/X6JPFMFX"],"itemData":{"id":1758,"type":"article-journal","abstract":"Abstract\n            \n              Purpose\n              To evaluate the incidence of serious complications after selective laser trabeculoplasty (SLT).\n            \n            \n              Methods\n              All patients who underwent SLT at the Department of Ophthalmology, Helsinki University Hospital, were eligible for the study from 1 January 2012 to 31 December 2018. Data regarding patients' demographics, procedure details, complications, predisposing factors and clinical outcomes were extracted retrospectively from electronic medical records. The primary outcome measures were serious complications, including corneal oedema, corneal scarring, hyperopic shift, synechia, anterior chamber bleeding and hyphema.\n            \n            \n              Results\n              A total of 6081 SLTs (4601 eyes) of 2812 patients were analysed. Twelve patients had bleeding in the anterior chamber angle (incidence 2/1000 SLT laser treatments), and four of them developed hyphema (incidence 0.7/1000 SLT laser treatments). Corneal oedema or Descemet's membrane folds were reported in six treated eyes, resulting in an incidence of 1/1000. One myopic eye had a permanent corneal scarring, thinning and irregular astigmatism with a hyperopic shift (5.3 D with recovery to 1.25 D in three years), resulting in poor visual acuity (from preoperative 0.9 to 0.4 at the last control). The incidence was less than 0.2/1000 for all SLT treatments (95% CI ≤0.1 to 1.0) and 1/648 for SLT laser treatments in high myopia (spherical equivalent ≤−5.00 D).\n            \n            \n              Conclusions\n              After SLT, the number of complications was low, with only one permanent vision deterioration after 6081 treatments. These findings may help clinicians reassure patients about SLT safety when offering SLT as a first‐line treatment for ocular hypertension or open‐angle glaucoma.","container-title":"Acta Ophthalmologica","DOI":"10.1111/aos.17536","ISSN":"1755-375X, 1755-3768","journalAbbreviation":"Acta Ophthalmologica","language":"en","page":"aos.17536","source":"DOI.org (Crossref)","title":"The incidence of serious complications after selective laser trabeculoplasty","URL":"https://onlinelibrary.wiley.com/doi/10.1111/aos.17536","author":[{"family":"Ojanen","given":"Eeva S."},{"family":"Turunen","given":"Joni A."},{"family":"Harju","given":"Mika"}],"accessed":{"date-parts":[["2025",7,1]]},"issued":{"date-parts":[["2025",6,14]]},"citation-key":"ojanen2025a"}}],"schema":"https://github.com/citation-style-language/schema/raw/master/csl-citation.json"} </w:instrText>
      </w:r>
      <w:r w:rsidR="00097795">
        <w:fldChar w:fldCharType="separate"/>
      </w:r>
      <w:r w:rsidR="00097795">
        <w:rPr>
          <w:noProof/>
        </w:rPr>
        <w:t>(Ojanen et al., 2025)</w:t>
      </w:r>
      <w:r w:rsidR="00097795">
        <w:fldChar w:fldCharType="end"/>
      </w:r>
      <w:r w:rsidR="001861FE">
        <w:t>.</w:t>
      </w:r>
      <w:r w:rsidR="00470F06">
        <w:t xml:space="preserve"> </w:t>
      </w:r>
      <w:r w:rsidR="001861FE">
        <w:t xml:space="preserve">ALT </w:t>
      </w:r>
      <w:r w:rsidR="00470F06">
        <w:t xml:space="preserve">has shown a </w:t>
      </w:r>
      <w:r w:rsidR="001861FE">
        <w:t>higher frequency of</w:t>
      </w:r>
      <w:r w:rsidR="00470F06">
        <w:t xml:space="preserve"> reported</w:t>
      </w:r>
      <w:r w:rsidR="001861FE">
        <w:t xml:space="preserve"> early pressure spikes</w:t>
      </w:r>
      <w:r w:rsidR="00470F06">
        <w:t>, which ha</w:t>
      </w:r>
      <w:r w:rsidR="00587630">
        <w:t>ve</w:t>
      </w:r>
      <w:r w:rsidR="00470F06">
        <w:t xml:space="preserve"> been linked to </w:t>
      </w:r>
      <w:r w:rsidR="00B440B6">
        <w:t>more severe</w:t>
      </w:r>
      <w:r w:rsidR="00470F06">
        <w:t xml:space="preserve"> </w:t>
      </w:r>
      <w:r w:rsidR="001861FE">
        <w:t>postoperative inflammation</w:t>
      </w:r>
      <w:r w:rsidR="00B440B6">
        <w:t xml:space="preserve"> </w:t>
      </w:r>
      <w:r w:rsidR="00097795">
        <w:fldChar w:fldCharType="begin"/>
      </w:r>
      <w:r w:rsidR="006F7FF9">
        <w:instrText xml:space="preserve"> ADDIN ZOTERO_ITEM CSL_CITATION {"citationID":"1AgLd4jk","properties":{"formattedCitation":"(Cvenkel et al., 2003; Kramer &amp; Noecker, 2001)","plainCitation":"(Cvenkel et al., 2003; Kramer &amp; Noecker, 2001)","noteIndex":0},"citationItems":[{"id":1532,"uris":["http://zotero.org/users/15573016/items/NX9AZVAQ"],"itemData":{"id":1532,"type":"article-journal","abstract":"Abstract\n            \n              Background and Objectives\n              To compare the histopathological changes in the human trabecular meshwork after low power argon laser trabeculoplasty (ALT) and selective laser trabeculoplasty (SLT) with a Q‐switched, frequency‐doubled, neodymium:yttrium–aluminium–garnet (Nd:YAG) laser.\n            \n            \n              Study Design/Materials and Methods\n              In gonioscopically normal trabecular meshwork of three patients awaiting enucleation due to malignant melanoma of the choroid, SLT and ALT were performed 1–5 days prior to enucleation. In each eye, the lower half of trabecular meshwork received SLT, one quadrant low power (460 mW) ALT and one quadrant was left untreated. Specimens were evaluated with light and transmission electron microscopy.\n            \n            \n              Results\n              A sharp demarcation line was visible between the laser treated and untreated intact trabecular meshwork after ALT and SLT. Both lasers caused disruption of trabecular beams, but the extent of the damage was smaller after SLT. The collagen component of trabecular beams was mostly amorphous, the long‐spacing collagen was scanty after ALT, but more abundant after SLT. In the intertrabecular spaces fragmented cells and tissue debris with only a few pigmented cells were observed. Some endothelial cells were desquamated, but appeared slightly better preserved after SLT than ALT.\n            \n            \n              Conclusions\n              Our ultrastructural comparison of the morphological changes after low power ALT and SLT in patients demonstrated that both lasers caused splitting and fragmentation of the trabecular beams of the trabecular meshwork, but the extent of the damage was smaller and the preservation of long‐spacing collagen better after SLT than after ALT. Lasers Surg. Med. 33:204–208, 2003. © 2003 Wiley‐Liss, Inc.","container-title":"Lasers in Surgery and Medicine","DOI":"10.1002/lsm.10203","ISSN":"0196-8092, 1096-9101","issue":"3","journalAbbreviation":"Lasers Surg Med","language":"en","license":"http://onlinelibrary.wiley.com/termsAndConditions#vor","page":"204-208","source":"DOI.org (Crossref)","title":"Acute ultrastructural changes of the trabecular meshwork after selective laser trabeculoplasty and low power argon laser trabeculoplasty","URL":"https://onlinelibrary.wiley.com/doi/10.1002/lsm.10203","volume":"33","author":[{"family":"Cvenkel","given":"Barbara"},{"family":"Hvala","given":"Anastazija"},{"family":"Drnovšek‐Olup","given":"Brigita"},{"family":"Gale","given":"Nina"}],"accessed":{"date-parts":[["2025",6,29]]},"issued":{"date-parts":[["2003",9]]},"citation-key":"cvenkel2003"}},{"id":1530,"uris":["http://zotero.org/users/15573016/items/6BEI6DQW"],"itemData":{"id":1530,"type":"article-journal","container-title":"Ophthalmology","DOI":"10.1016/S0161-6420(00)00660-6","ISSN":"01616420","issue":"4","journalAbbreviation":"Ophthalmology","language":"en","license":"https://www.elsevier.com/tdm/userlicense/1.0/","page":"773-779","source":"DOI.org (Crossref)","title":"Comparison of the morphologic changes after selective laser trabeculoplasty and argon laser trabeculoplasty in human eye bank eyes","URL":"https://linkinghub.elsevier.com/retrieve/pii/S0161642000006606","volume":"108","author":[{"family":"Kramer","given":"Theresa R"},{"family":"Noecker","given":"Robert J"}],"accessed":{"date-parts":[["2025",6,29]]},"issued":{"date-parts":[["2001",4]]},"citation-key":"kramer2001"}}],"schema":"https://github.com/citation-style-language/schema/raw/master/csl-citation.json"} </w:instrText>
      </w:r>
      <w:r w:rsidR="00097795">
        <w:fldChar w:fldCharType="separate"/>
      </w:r>
      <w:r w:rsidR="006F7FF9">
        <w:rPr>
          <w:noProof/>
        </w:rPr>
        <w:t>(Cvenkel et al., 2003; Kramer &amp; Noecker, 2001)</w:t>
      </w:r>
      <w:r w:rsidR="00097795">
        <w:fldChar w:fldCharType="end"/>
      </w:r>
      <w:r w:rsidR="006F7FF9">
        <w:t>.</w:t>
      </w:r>
    </w:p>
    <w:p w14:paraId="36213B02" w14:textId="77777777" w:rsidR="00BE5B2D" w:rsidRDefault="00BE5B2D" w:rsidP="00C04E2A">
      <w:pPr>
        <w:spacing w:line="360" w:lineRule="auto"/>
        <w:jc w:val="both"/>
      </w:pPr>
    </w:p>
    <w:p w14:paraId="2F864803" w14:textId="07F67A97" w:rsidR="00444169" w:rsidRDefault="001861FE" w:rsidP="003A0B82">
      <w:pPr>
        <w:spacing w:line="360" w:lineRule="auto"/>
        <w:jc w:val="both"/>
      </w:pPr>
      <w:r>
        <w:t xml:space="preserve">Late complications (&gt; 90 days) are </w:t>
      </w:r>
      <w:r w:rsidR="00470F06">
        <w:t xml:space="preserve">generally </w:t>
      </w:r>
      <w:r>
        <w:t xml:space="preserve">infrequent but tend to be structural </w:t>
      </w:r>
      <w:r w:rsidR="00470F06">
        <w:t>and progressive</w:t>
      </w:r>
      <w:r>
        <w:t>. The most significant delayed finding after ALT is peripheral anterior synechiae (PAS)</w:t>
      </w:r>
      <w:r w:rsidR="00470F06">
        <w:t>. They have been</w:t>
      </w:r>
      <w:r>
        <w:t xml:space="preserve"> reported in up to 32% of </w:t>
      </w:r>
      <w:r w:rsidR="00470F06">
        <w:t>ALT</w:t>
      </w:r>
      <w:r w:rsidR="00B440B6">
        <w:t>-</w:t>
      </w:r>
      <w:r>
        <w:t xml:space="preserve">treated eyes </w:t>
      </w:r>
      <w:r w:rsidR="005B4B0D">
        <w:fldChar w:fldCharType="begin"/>
      </w:r>
      <w:r w:rsidR="005B4B0D">
        <w:instrText xml:space="preserve"> ADDIN ZOTERO_ITEM CSL_CITATION {"citationID":"GSEOZe8w","properties":{"formattedCitation":"(Rolim-de-Moura et al., 2022)","plainCitation":"(Rolim-de-Moura et al., 2022)","noteIndex":0},"citationItems":[{"id":1766,"uris":["http://zotero.org/users/15573016/items/MX5QKHQP"],"itemData":{"id":1766,"type":"article-journal","container-title":"Cochrane Database of Systematic Reviews","DOI":"10.1002/14651858.CD003919.pub3","ISSN":"14651858","issue":"8","language":"en","source":"DOI.org (Crossref)","title":"Laser trabeculoplasty for open-angle glaucoma and ocular hypertension","URL":"http://doi.wiley.com/10.1002/14651858.CD003919.pub3","volume":"2022","editor":[{"literal":"Cochrane Eyes and Vision Group"}],"author":[{"family":"Rolim-de-Moura","given":"Christiane R"},{"family":"Paranhos Jr","given":"Augusto"},{"family":"Loutfi","given":"Mohamed"},{"family":"Burton","given":"David"},{"family":"Wormald","given":"Richard"},{"family":"Evans","given":"Jennifer R"}],"accessed":{"date-parts":[["2025",7,1]]},"issued":{"date-parts":[["2022",8,9]]},"citation-key":"rolim-de-moura2022a"}}],"schema":"https://github.com/citation-style-language/schema/raw/master/csl-citation.json"} </w:instrText>
      </w:r>
      <w:r w:rsidR="005B4B0D">
        <w:fldChar w:fldCharType="separate"/>
      </w:r>
      <w:r w:rsidR="005B4B0D">
        <w:rPr>
          <w:noProof/>
        </w:rPr>
        <w:t>(Rolim-de-Moura et al., 2022)</w:t>
      </w:r>
      <w:r w:rsidR="005B4B0D">
        <w:fldChar w:fldCharType="end"/>
      </w:r>
      <w:r w:rsidR="005B4B0D">
        <w:t xml:space="preserve">. </w:t>
      </w:r>
      <w:r w:rsidR="00470F06">
        <w:t xml:space="preserve">PAS describes the </w:t>
      </w:r>
      <w:r>
        <w:t>formation of adhesions between the iris root and the TM at lasered sites</w:t>
      </w:r>
      <w:r w:rsidR="00470F06">
        <w:t xml:space="preserve">. </w:t>
      </w:r>
      <w:r>
        <w:t>This structural alteration can compromise aqueous outflow and diminish the long-term efficacy of ALT. In SLT, comparable late events are rare due to minimal tissue disruption</w:t>
      </w:r>
      <w:r w:rsidR="005B4B0D">
        <w:t>.</w:t>
      </w:r>
      <w:r>
        <w:t xml:space="preserve"> </w:t>
      </w:r>
      <w:r w:rsidR="005B4B0D">
        <w:t>H</w:t>
      </w:r>
      <w:r>
        <w:t xml:space="preserve">owever, isolated cases of chronic uveitis (0.6%) and reactivation of herpes simplex keratitis (0.3%) have been described </w:t>
      </w:r>
      <w:r w:rsidR="005B4B0D">
        <w:fldChar w:fldCharType="begin"/>
      </w:r>
      <w:r w:rsidR="00097795">
        <w:instrText xml:space="preserve"> ADDIN ZOTERO_ITEM CSL_CITATION {"citationID":"cRuIaP7N","properties":{"formattedCitation":"(Gazzard et al., 2019)","plainCitation":"(Gazzard et al., 2019)","noteIndex":0},"citationItems":[{"id":412,"uris":["http://zotero.org/users/15573016/items/TKBZQZ6I"],"itemData":{"id":412,"type":"article-journal","container-title":"The Lancet","DOI":"10.1016/S0140-6736(18)32213-X","ISSN":"01406736","issue":"10180","journalAbbreviation":"The Lancet","language":"en","page":"1505-1516","source":"DOI.org (Crossref)","title":"Selective laser trabeculoplasty versus eye drops for first-line treatment of ocular hypertension and glaucoma (LiGHT): a multicentre randomised controlled trial","title-short":"Selective laser trabeculoplasty versus eye drops for first-line treatment of ocular hypertension and glaucoma (LiGHT)","URL":"https://linkinghub.elsevier.com/retrieve/pii/S014067361832213X","volume":"393","author":[{"family":"Gazzard","given":"Gus"},{"family":"Konstantakopoulou","given":"Evgenia"},{"family":"Garway-Heath","given":"David"},{"family":"Garg","given":"Anurag"},{"family":"Vickerstaff","given":"Victoria"},{"family":"Hunter","given":"Rachael"},{"family":"Ambler","given":"Gareth"},{"family":"Bunce","given":"Catey"},{"family":"Wormald","given":"Richard"},{"family":"Nathwani","given":"Neil"},{"family":"Barton","given":"Keith"},{"family":"Rubin","given":"Gary"},{"family":"Buszewicz","given":"Marta"},{"family":"Ambler","given":"Gareth"},{"family":"Barton","given":"Keith"},{"family":"Bourne","given":"Rupert"},{"family":"Broadway","given":"David"},{"family":"Bunce","given":"Catey"},{"family":"Buszewicz","given":"Marta"},{"family":"Davis","given":"Amanda"},{"family":"Garg","given":"Anurag"},{"family":"Garway-Heath","given":"David"},{"family":"Gazzard","given":"Gus"},{"family":"Hunter","given":"Rachael"},{"family":"Jayaram","given":"Hari"},{"family":"Jiang","given":"Yuzhen"},{"family":"Konstantakopoulou","given":"Evgenia"},{"family":"Lim","given":"Sheng"},{"family":"Liput","given":"Joanna"},{"family":"Manners","given":"Timothy"},{"family":"Morris","given":"Stephen"},{"family":"Nathwani","given":"Neil"},{"family":"Rubin","given":"Gary"},{"family":"Strouthidis","given":"Nicholas"},{"family":"Vickerstaff","given":"Victoria"},{"family":"Wilson","given":"Sarah"},{"family":"Wormald","given":"Richard"},{"family":"Zhu","given":"Haogang"}],"accessed":{"date-parts":[["2025",2,5]]},"issued":{"date-parts":[["2019",4]]},"citation-key":"gazzard2019"}}],"schema":"https://github.com/citation-style-language/schema/raw/master/csl-citation.json"} </w:instrText>
      </w:r>
      <w:r w:rsidR="005B4B0D">
        <w:fldChar w:fldCharType="separate"/>
      </w:r>
      <w:r w:rsidR="00097795">
        <w:rPr>
          <w:noProof/>
        </w:rPr>
        <w:t>(Gazzard et al., 2019)</w:t>
      </w:r>
      <w:r w:rsidR="005B4B0D">
        <w:fldChar w:fldCharType="end"/>
      </w:r>
      <w:r>
        <w:t xml:space="preserve">. These are thought to arise from localized immune activation in predisposed individuals. Exceptionally rare events such as permanent </w:t>
      </w:r>
      <w:r>
        <w:lastRenderedPageBreak/>
        <w:t xml:space="preserve">corneal thinning, irregular astigmatism, or irreversible vision deterioration (&lt;0.2/1000) </w:t>
      </w:r>
      <w:r w:rsidR="00470F06">
        <w:t xml:space="preserve">were </w:t>
      </w:r>
      <w:r>
        <w:t xml:space="preserve">linked to inadvertent overexposure or pre-existing endothelial vulnerability </w:t>
      </w:r>
      <w:r w:rsidR="00097795">
        <w:fldChar w:fldCharType="begin"/>
      </w:r>
      <w:r w:rsidR="00097795">
        <w:instrText xml:space="preserve"> ADDIN ZOTERO_ITEM CSL_CITATION {"citationID":"KzlPWe5B","properties":{"formattedCitation":"(Ojanen et al., 2025)","plainCitation":"(Ojanen et al., 2025)","noteIndex":0},"citationItems":[{"id":1758,"uris":["http://zotero.org/users/15573016/items/X6JPFMFX"],"itemData":{"id":1758,"type":"article-journal","abstract":"Abstract\n            \n              Purpose\n              To evaluate the incidence of serious complications after selective laser trabeculoplasty (SLT).\n            \n            \n              Methods\n              All patients who underwent SLT at the Department of Ophthalmology, Helsinki University Hospital, were eligible for the study from 1 January 2012 to 31 December 2018. Data regarding patients' demographics, procedure details, complications, predisposing factors and clinical outcomes were extracted retrospectively from electronic medical records. The primary outcome measures were serious complications, including corneal oedema, corneal scarring, hyperopic shift, synechia, anterior chamber bleeding and hyphema.\n            \n            \n              Results\n              A total of 6081 SLTs (4601 eyes) of 2812 patients were analysed. Twelve patients had bleeding in the anterior chamber angle (incidence 2/1000 SLT laser treatments), and four of them developed hyphema (incidence 0.7/1000 SLT laser treatments). Corneal oedema or Descemet's membrane folds were reported in six treated eyes, resulting in an incidence of 1/1000. One myopic eye had a permanent corneal scarring, thinning and irregular astigmatism with a hyperopic shift (5.3 D with recovery to 1.25 D in three years), resulting in poor visual acuity (from preoperative 0.9 to 0.4 at the last control). The incidence was less than 0.2/1000 for all SLT treatments (95% CI ≤0.1 to 1.0) and 1/648 for SLT laser treatments in high myopia (spherical equivalent ≤−5.00 D).\n            \n            \n              Conclusions\n              After SLT, the number of complications was low, with only one permanent vision deterioration after 6081 treatments. These findings may help clinicians reassure patients about SLT safety when offering SLT as a first‐line treatment for ocular hypertension or open‐angle glaucoma.","container-title":"Acta Ophthalmologica","DOI":"10.1111/aos.17536","ISSN":"1755-375X, 1755-3768","journalAbbreviation":"Acta Ophthalmologica","language":"en","page":"aos.17536","source":"DOI.org (Crossref)","title":"The incidence of serious complications after selective laser trabeculoplasty","URL":"https://onlinelibrary.wiley.com/doi/10.1111/aos.17536","author":[{"family":"Ojanen","given":"Eeva S."},{"family":"Turunen","given":"Joni A."},{"family":"Harju","given":"Mika"}],"accessed":{"date-parts":[["2025",7,1]]},"issued":{"date-parts":[["2025",6,14]]},"citation-key":"ojanen2025a"}}],"schema":"https://github.com/citation-style-language/schema/raw/master/csl-citation.json"} </w:instrText>
      </w:r>
      <w:r w:rsidR="00097795">
        <w:fldChar w:fldCharType="separate"/>
      </w:r>
      <w:r w:rsidR="00097795">
        <w:rPr>
          <w:noProof/>
        </w:rPr>
        <w:t>(Ojanen et al., 2025)</w:t>
      </w:r>
      <w:r w:rsidR="00097795">
        <w:fldChar w:fldCharType="end"/>
      </w:r>
      <w:r>
        <w:t>.</w:t>
      </w:r>
    </w:p>
    <w:p w14:paraId="77F7776A" w14:textId="77777777" w:rsidR="0024401C" w:rsidRDefault="0024401C" w:rsidP="003A0B82">
      <w:pPr>
        <w:spacing w:line="360" w:lineRule="auto"/>
        <w:jc w:val="both"/>
      </w:pPr>
    </w:p>
    <w:p w14:paraId="7EE9721A" w14:textId="2F2D17B0" w:rsidR="0020696C" w:rsidRDefault="001861FE" w:rsidP="0024401C">
      <w:pPr>
        <w:spacing w:line="360" w:lineRule="auto"/>
        <w:jc w:val="both"/>
      </w:pPr>
      <w:r>
        <w:t>In</w:t>
      </w:r>
      <w:r w:rsidR="00097795">
        <w:t xml:space="preserve"> </w:t>
      </w:r>
      <w:r>
        <w:t xml:space="preserve">summary, SLT’s selective photothermolytic mechanism limits collateral </w:t>
      </w:r>
      <w:r w:rsidR="00097795">
        <w:t xml:space="preserve">tissue </w:t>
      </w:r>
      <w:r>
        <w:t>damage</w:t>
      </w:r>
      <w:r w:rsidR="00B440B6">
        <w:t>, m</w:t>
      </w:r>
      <w:r w:rsidR="00470F06">
        <w:t>aking it safer</w:t>
      </w:r>
      <w:r>
        <w:t xml:space="preserve"> and </w:t>
      </w:r>
      <w:r w:rsidR="00470F06">
        <w:t xml:space="preserve">repeatable. </w:t>
      </w:r>
      <w:r>
        <w:t xml:space="preserve">ALT’s greater thermal load predisposes to angle scarring and PAS formation. Overall, both modalities </w:t>
      </w:r>
      <w:r w:rsidR="00470F06">
        <w:t>have a low occurrence of vision-threatening complications.</w:t>
      </w:r>
      <w:r>
        <w:t xml:space="preserve"> </w:t>
      </w:r>
    </w:p>
    <w:p w14:paraId="30B88067" w14:textId="77777777" w:rsidR="00DB6C09" w:rsidRPr="006E004F" w:rsidRDefault="00DB6C09" w:rsidP="003A0B82">
      <w:pPr>
        <w:spacing w:line="360" w:lineRule="auto"/>
      </w:pPr>
    </w:p>
    <w:p w14:paraId="1E133BF4" w14:textId="0CD3E334" w:rsidR="00850DAD" w:rsidRDefault="00850DAD" w:rsidP="003A0B82">
      <w:pPr>
        <w:pStyle w:val="Heading2"/>
      </w:pPr>
      <w:bookmarkStart w:id="22" w:name="_Toc213182577"/>
      <w:r w:rsidRPr="00850DAD">
        <w:t>Penetrating Surgeries</w:t>
      </w:r>
      <w:bookmarkEnd w:id="22"/>
    </w:p>
    <w:p w14:paraId="3DBD2B3A" w14:textId="0E0A0DF9" w:rsidR="00444169" w:rsidRDefault="00B051D4" w:rsidP="003A0B82">
      <w:pPr>
        <w:spacing w:line="360" w:lineRule="auto"/>
        <w:jc w:val="both"/>
      </w:pPr>
      <w:r w:rsidRPr="00D72D8C">
        <w:t>Penetrating surgeries are surgical modalities characterized by the creation of an alternative aqueous outflow pathway to reduce IOP. Direct ocular tissue penetration, leading to alterations in aqueous drainage, is a hallmark of this surgical group. The creation of a separate outflow tract make</w:t>
      </w:r>
      <w:r w:rsidR="006F7FF9" w:rsidRPr="00D72D8C">
        <w:t>s</w:t>
      </w:r>
      <w:r w:rsidRPr="00D72D8C">
        <w:t xml:space="preserve"> penetrating surgeries especially important in patients with moderate to advanced glaucoma, in need of a drastic and long-lasting reduction in IOP.</w:t>
      </w:r>
      <w:r w:rsidR="006F7FF9" w:rsidRPr="00D72D8C">
        <w:t xml:space="preserve"> The group of penetrating surgical approaches is comprised of </w:t>
      </w:r>
      <w:r w:rsidRPr="00D72D8C">
        <w:t>Trabeculectomy and Glaucoma Drainage Devices (GDDs), including Ahmed, Baerveldt, and Molteno implants.</w:t>
      </w:r>
      <w:r w:rsidR="006F7FF9" w:rsidRPr="00D72D8C">
        <w:t xml:space="preserve"> </w:t>
      </w:r>
      <w:r w:rsidRPr="00D72D8C">
        <w:t xml:space="preserve">In trabeculectomy, a fistula is created between the anterior chamber and the subconjunctival space. The </w:t>
      </w:r>
      <w:r w:rsidR="00B440B6" w:rsidRPr="00D72D8C">
        <w:t xml:space="preserve">dissection of </w:t>
      </w:r>
      <w:r w:rsidRPr="00D72D8C">
        <w:t>scleral tissue allows aqueous humor to drain into the subconjunctival space and form a cavity beneath a remaining conjunctival flap, creating a so-called filtering bleb</w:t>
      </w:r>
      <w:r w:rsidR="006F7FF9" w:rsidRPr="00D72D8C">
        <w:t xml:space="preserve"> </w:t>
      </w:r>
      <w:r w:rsidR="006F7FF9" w:rsidRPr="00D72D8C">
        <w:fldChar w:fldCharType="begin"/>
      </w:r>
      <w:r w:rsidR="006F7FF9" w:rsidRPr="00D72D8C">
        <w:instrText xml:space="preserve"> ADDIN ZOTERO_ITEM CSL_CITATION {"citationID":"Nw5D0s2F","properties":{"formattedCitation":"(Kirwan et al., 2013)","plainCitation":"(Kirwan et al., 2013)","noteIndex":0},"citationItems":[{"id":1547,"uris":["http://zotero.org/users/15573016/items/M72QIPN8"],"itemData":{"id":1547,"type":"article-journal","container-title":"Ophthalmology","DOI":"10.1016/j.ophtha.2013.07.049","ISSN":"01616420","issue":"12","journalAbbreviation":"Ophthalmology","language":"en","license":"https://www.elsevier.com/tdm/userlicense/1.0/","page":"2532-2539","source":"DOI.org (Crossref)","title":"Trabeculectomy in the 21st Century","URL":"https://linkinghub.elsevier.com/retrieve/pii/S0161642013006891","volume":"120","author":[{"family":"Kirwan","given":"James F."},{"family":"Lockwood","given":"Alastair J."},{"family":"Shah","given":"Peter"},{"family":"Macleod","given":"Alex"},{"family":"Broadway","given":"David C."},{"family":"King","given":"Anthony J."},{"family":"McNaught","given":"Andrew I."},{"family":"Agrawal","given":"Pavi"}],"accessed":{"date-parts":[["2025",6,29]]},"issued":{"date-parts":[["2013",12]]},"citation-key":"kirwan2013"}}],"schema":"https://github.com/citation-style-language/schema/raw/master/csl-citation.json"} </w:instrText>
      </w:r>
      <w:r w:rsidR="006F7FF9" w:rsidRPr="00D72D8C">
        <w:fldChar w:fldCharType="separate"/>
      </w:r>
      <w:r w:rsidR="006F7FF9" w:rsidRPr="00D72D8C">
        <w:t>(Kirwan et al., 2013)</w:t>
      </w:r>
      <w:r w:rsidR="006F7FF9" w:rsidRPr="00D72D8C">
        <w:fldChar w:fldCharType="end"/>
      </w:r>
      <w:r w:rsidRPr="00D72D8C">
        <w:t>. Surgical success depends on bleb formation, stability, and longevity</w:t>
      </w:r>
      <w:r w:rsidR="006F7FF9" w:rsidRPr="00D72D8C">
        <w:t>.</w:t>
      </w:r>
      <w:r w:rsidRPr="00D72D8C">
        <w:t xml:space="preserve"> </w:t>
      </w:r>
      <w:r w:rsidR="006F7FF9" w:rsidRPr="00D72D8C">
        <w:t>T</w:t>
      </w:r>
      <w:r w:rsidRPr="00D72D8C">
        <w:t>herefore, Mitomycin C (MMC) or other antimetabolites are frequently used to suppress subconjunctival fibrosis and aid in bleb formation.</w:t>
      </w:r>
      <w:r w:rsidR="006F7FF9" w:rsidRPr="00D72D8C">
        <w:t xml:space="preserve"> </w:t>
      </w:r>
      <w:r w:rsidRPr="00D72D8C">
        <w:t>Drainage devices aim to establish a connection between the anterior chamber and the subconjunctival space. The tubes used shunt aqueous</w:t>
      </w:r>
      <w:r w:rsidRPr="00B051D4">
        <w:t xml:space="preserve"> humor from the anterior chamber to a subconjunctival plate, where it is gradually absorbed. Instead of a bleb, a fibrous capsule forms around the device endplate </w:t>
      </w:r>
      <w:r w:rsidR="006F7FF9">
        <w:fldChar w:fldCharType="begin"/>
      </w:r>
      <w:r w:rsidR="006F7FF9">
        <w:instrText xml:space="preserve"> ADDIN ZOTERO_ITEM CSL_CITATION {"citationID":"4pUXirKC","properties":{"formattedCitation":"(Tseng et al., 2017)","plainCitation":"(Tseng et al., 2017)","noteIndex":0},"citationItems":[{"id":1548,"uris":["http://zotero.org/users/15573016/items/MKW3ENQJ"],"itemData":{"id":1548,"type":"article-journal","container-title":"Cochrane Database of Systematic Reviews","DOI":"10.1002/14651858.CD004918.pub3","ISSN":"14651858","issue":"7","language":"en","source":"DOI.org (Crossref)","title":"Aqueous shunts for glaucoma","URL":"http://doi.wiley.com/10.1002/14651858.CD004918.pub3","volume":"2017","author":[{"family":"Tseng","given":"Victoria L"},{"family":"Coleman","given":"Anne L"},{"family":"Chang","given":"Melinda Y"},{"family":"Caprioli","given":"Joseph"}],"editor":[{"literal":"Cochrane Eyes and Vision Group"}],"accessed":{"date-parts":[["2025",6,29]]},"issued":{"date-parts":[["2017",7,28]]},"citation-key":"tseng2017"}}],"schema":"https://github.com/citation-style-language/schema/raw/master/csl-citation.json"} </w:instrText>
      </w:r>
      <w:r w:rsidR="006F7FF9">
        <w:fldChar w:fldCharType="separate"/>
      </w:r>
      <w:r w:rsidR="006F7FF9">
        <w:rPr>
          <w:noProof/>
        </w:rPr>
        <w:t>(Tseng et al., 2017)</w:t>
      </w:r>
      <w:r w:rsidR="006F7FF9">
        <w:fldChar w:fldCharType="end"/>
      </w:r>
      <w:r w:rsidRPr="00B051D4">
        <w:t xml:space="preserve">. The difference between  GDDs </w:t>
      </w:r>
      <w:r w:rsidR="006F7FF9">
        <w:t>lies</w:t>
      </w:r>
      <w:r w:rsidRPr="00B051D4">
        <w:t xml:space="preserve"> in their flow dynamics. They can be valved (Ahmed) or non-valved (Baerveldt and Molteno).</w:t>
      </w:r>
      <w:r w:rsidR="00444169">
        <w:t xml:space="preserve"> </w:t>
      </w:r>
      <w:r w:rsidR="00022293">
        <w:t xml:space="preserve">The </w:t>
      </w:r>
      <w:r w:rsidR="000E1A36" w:rsidRPr="000E1A36">
        <w:t>Primary Tube Versus Trabeculectomy Study (PTVT) reported a mean postoperative IOP of 14.0 ± 4.2 mmHg in the tube group and 12.1 ± 4.8 mmHg in the trabeculectomy group at three years</w:t>
      </w:r>
      <w:r w:rsidR="006F7FF9">
        <w:t xml:space="preserve"> </w:t>
      </w:r>
      <w:r w:rsidR="006F7FF9">
        <w:fldChar w:fldCharType="begin"/>
      </w:r>
      <w:r w:rsidR="006F7FF9">
        <w:instrText xml:space="preserve"> ADDIN ZOTERO_ITEM CSL_CITATION {"citationID":"MRvOocOp","properties":{"formattedCitation":"(Gedde et al., 2020)","plainCitation":"(Gedde et al., 2020)","noteIndex":0},"citationItems":[{"id":1545,"uris":["http://zotero.org/users/15573016/items/KU44ZC7J"],"itemData":{"id":1545,"type":"article-journal","container-title":"Ophthalmology","DOI":"10.1016/j.ophtha.2019.10.002","ISSN":"01616420","issue":"3","journalAbbreviation":"Ophthalmology","language":"en","page":"333-345","source":"DOI.org (Crossref)","title":"Treatment Outcomes in the Primary Tube Versus Trabeculectomy Study after 3 Years of Follow-up","URL":"https://linkinghub.elsevier.com/retrieve/pii/S0161642019321098","volume":"127","author":[{"family":"Gedde","given":"Steven J."},{"family":"Feuer","given":"William J."},{"family":"Lim","given":"Kin Sheng"},{"family":"Barton","given":"Keith"},{"family":"Goyal","given":"Saurabh"},{"family":"Ahmed","given":"Iqbal I.K."},{"family":"Brandt","given":"James D."}],"accessed":{"date-parts":[["2025",6,29]]},"issued":{"date-parts":[["2020",3]]},"citation-key":"gedde2020"}}],"schema":"https://github.com/citation-style-language/schema/raw/master/csl-citation.json"} </w:instrText>
      </w:r>
      <w:r w:rsidR="006F7FF9">
        <w:fldChar w:fldCharType="separate"/>
      </w:r>
      <w:r w:rsidR="006F7FF9">
        <w:rPr>
          <w:noProof/>
        </w:rPr>
        <w:t>(Gedde et al., 2020)</w:t>
      </w:r>
      <w:r w:rsidR="006F7FF9">
        <w:fldChar w:fldCharType="end"/>
      </w:r>
      <w:r w:rsidR="000E1A36" w:rsidRPr="000E1A36">
        <w:t>. The mean postoperative IOP was</w:t>
      </w:r>
      <w:r w:rsidR="00583B4B">
        <w:t xml:space="preserve"> found to be</w:t>
      </w:r>
      <w:r w:rsidR="000E1A36" w:rsidRPr="000E1A36">
        <w:t xml:space="preserve"> similar between the two groups at five years. Nevertheless, trabeculectomy has been associated with a lower medication burden compared to the tube group </w:t>
      </w:r>
      <w:r w:rsidR="00022293">
        <w:fldChar w:fldCharType="begin"/>
      </w:r>
      <w:r w:rsidR="00022293">
        <w:instrText xml:space="preserve"> ADDIN ZOTERO_ITEM CSL_CITATION {"citationID":"RJ79OLdt","properties":{"formattedCitation":"(Gedde et al., 2020; Gedde, Feuer, Lim, Barton, Goyal, Ahmed, Brandt, Banitt, et al., 2022)","plainCitation":"(Gedde et al., 2020; Gedde, Feuer, Lim, Barton, Goyal, Ahmed, Brandt, Banitt, et al., 2022)","noteIndex":0},"citationItems":[{"id":1545,"uris":["http://zotero.org/users/15573016/items/KU44ZC7J"],"itemData":{"id":1545,"type":"article-journal","container-title":"Ophthalmology","DOI":"10.1016/j.ophtha.2019.10.002","ISSN":"01616420","issue":"3","journalAbbreviation":"Ophthalmology","language":"en","page":"333-345","source":"DOI.org (Crossref)","title":"Treatment Outcomes in the Primary Tube Versus Trabeculectomy Study after 3 Years of Follow-up","URL":"https://linkinghub.elsevier.com/retrieve/pii/S0161642019321098","volume":"127","author":[{"family":"Gedde","given":"Steven J."},{"family":"Feuer","given":"William J."},{"family":"Lim","given":"Kin Sheng"},{"family":"Barton","given":"Keith"},{"family":"Goyal","given":"Saurabh"},{"family":"Ahmed","given":"Iqbal I.K."},{"family":"Brandt","given":"James D."}],"accessed":{"date-parts":[["2025",6,29]]},"issued":{"date-parts":[["2020",3]]},"citation-key":"gedde2020"}},{"id":767,"uris":["http://zotero.org/users/15573016/items/58W2HZTC"],"itemData":{"id":767,"type":"article-journal","container-title":"Ophthalmology","DOI":"10.1016/j.ophtha.2022.07.003","ISSN":"01616420","issue":"12","journalAbbreviation":"Ophthalmology","language":"en","page":"1344-1356","source":"DOI.org (Crossref)","title":"Treatment Outcomes in the Primary Tube Versus Trabeculectomy Study after 5 Years of Follow-up","URL":"https://linkinghub.elsevier.com/retrieve/pii/S016164202200519X","volume":"129","author":[{"family":"Gedde","given":"Steven J."},{"family":"Feuer","given":"William J."},{"family":"Lim","given":"Kin Sheng"},{"family":"Barton","given":"Keith"},{"family":"Goyal","given":"Saurabh"},{"family":"Ahmed","given":"Iqbal I."},{"family":"Brandt","given":"James D."},{"family":"Banitt","given":"Michael"},{"family":"Budenz","given":"Donald"},{"family":"Lee","given":"Richard"},{"family":"Palmberg","given":"Paul"},{"family":"Parrish","given":"Richard"},{"family":"Vazquez","given":"Luis"},{"family":"Wellik","given":"Sarah"},{"family":"Werner","given":"Mark"},{"family":"Zink","given":"Jeffrey"},{"family":"Khatana","given":"Anup"},{"family":"Grover","given":"Davinder"},{"family":"Neelakantan","given":"Arvind"},{"family":"Panarelli","given":"Joseph"},{"family":"Sidoti","given":"Paul"},{"family":"Tsai","given":"James"},{"family":"Vinod","given":"Kateki"},{"family":"Lind","given":"John"},{"family":"Shields","given":"Steven"},{"family":"Sherwood","given":"Mark"},{"family":"Khaimi","given":"Mahmoud"},{"family":"Sankar","given":"Prithvi"},{"family":"Ansari","given":"Husam"},{"family":"Miller-Ellis","given":"Eydie"},{"family":"Feldman","given":"Robert"},{"family":"Baker","given":"Laura"},{"family":"Bell","given":"Nicholas"},{"family":"Williams","given":"Donna"},{"family":"Prum","given":"Bruce"},{"family":"Ramulu","given":"Pradeep"},{"family":"Jampel","given":"Henry"},{"family":"Londono","given":"Luz"},{"family":"Schiffman","given":"Joyce"},{"family":"Shi","given":"Wei"},{"family":"Silva","given":"Yolanda"},{"family":"Vanner","given":"Elizabeth"},{"family":"Chen","given":"Philip"},{"family":"Heuer","given":"Dale"},{"family":"Singh","given":"Kuldev"},{"family":"Wright","given":"Martha"}],"accessed":{"date-parts":[["2025",3,26]]},"issued":{"date-parts":[["2022",12]]},"citation-key":"gedde2022a"}}],"schema":"https://github.com/citation-style-language/schema/raw/master/csl-citation.json"} </w:instrText>
      </w:r>
      <w:r w:rsidR="00022293">
        <w:fldChar w:fldCharType="separate"/>
      </w:r>
      <w:r w:rsidR="00022293">
        <w:rPr>
          <w:noProof/>
        </w:rPr>
        <w:t>(Gedde et al., 2020; Gedde, Feuer, Lim, Barton, Goyal, Ahmed, Brandt, Banitt, et al., 2022)</w:t>
      </w:r>
      <w:r w:rsidR="00022293">
        <w:fldChar w:fldCharType="end"/>
      </w:r>
      <w:r w:rsidR="00022293">
        <w:t xml:space="preserve">. </w:t>
      </w:r>
      <w:r w:rsidR="000E1A36" w:rsidRPr="000E1A36">
        <w:t xml:space="preserve">Complete surgical success, defined as IOP ≤18 mmHg without medications, was reported in the PTVT Study at five years in 30% of </w:t>
      </w:r>
      <w:r w:rsidR="000E1A36" w:rsidRPr="000E1A36">
        <w:lastRenderedPageBreak/>
        <w:t>patients after trabeculectomy with MMC and 14% after tube shunt implantation</w:t>
      </w:r>
      <w:r w:rsidR="00022293">
        <w:t xml:space="preserve"> </w:t>
      </w:r>
      <w:r w:rsidR="00022293">
        <w:fldChar w:fldCharType="begin"/>
      </w:r>
      <w:r w:rsidR="00022293">
        <w:instrText xml:space="preserve"> ADDIN ZOTERO_ITEM CSL_CITATION {"citationID":"ALslOfqH","properties":{"formattedCitation":"(Gedde, Feuer, Lim, Barton, Goyal, Ahmed, Brandt, Banitt, et al., 2022)","plainCitation":"(Gedde, Feuer, Lim, Barton, Goyal, Ahmed, Brandt, Banitt, et al., 2022)","noteIndex":0},"citationItems":[{"id":767,"uris":["http://zotero.org/users/15573016/items/58W2HZTC"],"itemData":{"id":767,"type":"article-journal","container-title":"Ophthalmology","DOI":"10.1016/j.ophtha.2022.07.003","ISSN":"01616420","issue":"12","journalAbbreviation":"Ophthalmology","language":"en","page":"1344-1356","source":"DOI.org (Crossref)","title":"Treatment Outcomes in the Primary Tube Versus Trabeculectomy Study after 5 Years of Follow-up","URL":"https://linkinghub.elsevier.com/retrieve/pii/S016164202200519X","volume":"129","author":[{"family":"Gedde","given":"Steven J."},{"family":"Feuer","given":"William J."},{"family":"Lim","given":"Kin Sheng"},{"family":"Barton","given":"Keith"},{"family":"Goyal","given":"Saurabh"},{"family":"Ahmed","given":"Iqbal I."},{"family":"Brandt","given":"James D."},{"family":"Banitt","given":"Michael"},{"family":"Budenz","given":"Donald"},{"family":"Lee","given":"Richard"},{"family":"Palmberg","given":"Paul"},{"family":"Parrish","given":"Richard"},{"family":"Vazquez","given":"Luis"},{"family":"Wellik","given":"Sarah"},{"family":"Werner","given":"Mark"},{"family":"Zink","given":"Jeffrey"},{"family":"Khatana","given":"Anup"},{"family":"Grover","given":"Davinder"},{"family":"Neelakantan","given":"Arvind"},{"family":"Panarelli","given":"Joseph"},{"family":"Sidoti","given":"Paul"},{"family":"Tsai","given":"James"},{"family":"Vinod","given":"Kateki"},{"family":"Lind","given":"John"},{"family":"Shields","given":"Steven"},{"family":"Sherwood","given":"Mark"},{"family":"Khaimi","given":"Mahmoud"},{"family":"Sankar","given":"Prithvi"},{"family":"Ansari","given":"Husam"},{"family":"Miller-Ellis","given":"Eydie"},{"family":"Feldman","given":"Robert"},{"family":"Baker","given":"Laura"},{"family":"Bell","given":"Nicholas"},{"family":"Williams","given":"Donna"},{"family":"Prum","given":"Bruce"},{"family":"Ramulu","given":"Pradeep"},{"family":"Jampel","given":"Henry"},{"family":"Londono","given":"Luz"},{"family":"Schiffman","given":"Joyce"},{"family":"Shi","given":"Wei"},{"family":"Silva","given":"Yolanda"},{"family":"Vanner","given":"Elizabeth"},{"family":"Chen","given":"Philip"},{"family":"Heuer","given":"Dale"},{"family":"Singh","given":"Kuldev"},{"family":"Wright","given":"Martha"}],"accessed":{"date-parts":[["2025",3,26]]},"issued":{"date-parts":[["2022",12]]},"citation-key":"gedde2022a"}}],"schema":"https://github.com/citation-style-language/schema/raw/master/csl-citation.json"} </w:instrText>
      </w:r>
      <w:r w:rsidR="00022293">
        <w:fldChar w:fldCharType="separate"/>
      </w:r>
      <w:r w:rsidR="00022293">
        <w:rPr>
          <w:noProof/>
        </w:rPr>
        <w:t>(Gedde, Feuer, Lim, Barton, Goyal, Ahmed, Brandt, Banitt, et al., 2022)</w:t>
      </w:r>
      <w:r w:rsidR="00022293">
        <w:fldChar w:fldCharType="end"/>
      </w:r>
      <w:r w:rsidR="000E1A36" w:rsidRPr="000E1A36">
        <w:t xml:space="preserve">. The Ahmed versus Baerveldt Study reported complete success rates of 24% and 36% at five years, respectively </w:t>
      </w:r>
      <w:r w:rsidR="00022293">
        <w:fldChar w:fldCharType="begin"/>
      </w:r>
      <w:r w:rsidR="00022293">
        <w:instrText xml:space="preserve"> ADDIN ZOTERO_ITEM CSL_CITATION {"citationID":"oNkULVzS","properties":{"formattedCitation":"(Christakis et al., 2016, 2017)","plainCitation":"(Christakis et al., 2016, 2017)","noteIndex":0},"citationItems":[{"id":1706,"uris":["http://zotero.org/users/15573016/items/7TL5DFB8"],"itemData":{"id":1706,"type":"article-journal","container-title":"Ophthalmology","DOI":"10.1016/j.ophtha.2016.06.035","ISSN":"01616420","issue":"10","journalAbbreviation":"Ophthalmology","language":"en","page":"2093-2102","source":"DOI.org (Crossref)","title":"The Ahmed Versus Baerveldt Study","URL":"https://linkinghub.elsevier.com/retrieve/pii/S0161642016305036","volume":"123","author":[{"family":"Christakis","given":"Panos G."},{"family":"Kalenak","given":"Jeffrey W."},{"family":"Tsai","given":"James C."},{"family":"Zurakowski","given":"David"},{"family":"Kammer","given":"Jeffrey A."},{"family":"Harasymowycz","given":"Paul J."},{"family":"Mura","given":"Juan J."},{"family":"Cantor","given":"Louis B."},{"family":"Ahmed","given":"Iqbal I.K."}],"accessed":{"date-parts":[["2025",7,1]]},"issued":{"date-parts":[["2016",10]]},"citation-key":"christakis2016"}},{"id":1469,"uris":["http://zotero.org/users/15573016/items/7D5D2FXI"],"itemData":{"id":1469,"type":"article-journal","abstract":"PURPOSE: To determine the relative efficacy of the Ahmed-FP7 and Baerveldt BG101-350 implants.\nDESIGN: Pooled analysis of 2 multicenter, randomized clinical trials.\nMETHODS: A total of 514 patients aged 18 or older with uncontrolled glaucoma that had failed or were at high risk of failing trabeculectomy were randomized to receive an Ahmed implant (n = 267) or Baerveldt implant (n = 247). Cumulative failure rates (using an intraocular pressure [IOP] target of 6-18 mm Hg inclusive), de novo glaucoma surgery rates, mean IOP, mean glaucoma medication use, and visual acuity were compared.\nRESULTS: Baseline characteristics were similar between groups. Mean preoperative IOP of the study population was 31.5 ± 11.3 mm Hg on an average of 3.3 ± 1.1 glaucoma medications. At 5 years, mean IOP was 15.8 ± 5.2 mm Hg in the Ahmed group and 13.2 ± 4.7 mm Hg in the Baerveldt group (P &lt; .001). Mean glaucoma medication use was 1.9 ± 1.5 in the Ahmed group and 1.5 ± 1.4 in the Baerveldt group (P = .007). The cumulative failure rate at 5 years was 49% in the Ahmed group and 37% in the Baerveldt group (P = .007). High IOP was the most common reason for failure in both groups, and de novo glaucoma surgery was required in 16% of the Ahmed group and 8% of the Baerveldt group (P = .006). Failure owing to hypotony occurred in 0.4% of the Ahmed group and 4.5% of the Baerveldt group (P = .002). Visual outcomes were similar between groups (P = .90).\nCONCLUSIONS: The Baerveldt group had a lower failure rate, lower rate of de novo glaucoma surgery, and lower mean IOP on fewer medications than the Ahmed group. Baerveldt implantation carried a higher risk of hypotony.","container-title":"American Journal of Ophthalmology","DOI":"10.1016/j.ajo.2017.01.003","ISSN":"1879-1891","journalAbbreviation":"Am J Ophthalmol","language":"eng","note":"PMID: 28104418","page":"118-126","source":"PubMed","title":"Five-Year Pooled Data Analysis of the Ahmed Baerveldt Comparison Study and the Ahmed Versus Baerveldt Study","volume":"176","author":[{"family":"Christakis","given":"Panos G."},{"family":"Zhang","given":"Dongyu"},{"family":"Budenz","given":"Donald L."},{"family":"Barton","given":"Keith"},{"family":"Tsai","given":"James C."},{"family":"Ahmed","given":"Iqbal I. K."},{"literal":"ABC-AVB Study Groups"}],"issued":{"date-parts":[["2017",4]]},"citation-key":"christakis2017"}}],"schema":"https://github.com/citation-style-language/schema/raw/master/csl-citation.json"} </w:instrText>
      </w:r>
      <w:r w:rsidR="00022293">
        <w:fldChar w:fldCharType="separate"/>
      </w:r>
      <w:r w:rsidR="00022293">
        <w:rPr>
          <w:noProof/>
        </w:rPr>
        <w:t>(Christakis et al., 2016, 2017)</w:t>
      </w:r>
      <w:r w:rsidR="00022293">
        <w:fldChar w:fldCharType="end"/>
      </w:r>
      <w:r w:rsidR="00022293">
        <w:t xml:space="preserve">. </w:t>
      </w:r>
      <w:r w:rsidR="000E1A36" w:rsidRPr="000E1A36">
        <w:t xml:space="preserve">In the </w:t>
      </w:r>
      <w:r w:rsidR="00022293" w:rsidRPr="000E1A36">
        <w:t>Primary Tube Versus Trabeculectomy Study (PTVT)</w:t>
      </w:r>
      <w:r w:rsidR="000E1A36" w:rsidRPr="000E1A36">
        <w:t xml:space="preserve">, reoperation rates for glaucoma were lower in the tube group (9%) than in the trabeculectomy group (29%) </w:t>
      </w:r>
      <w:r w:rsidR="00022293">
        <w:fldChar w:fldCharType="begin"/>
      </w:r>
      <w:r w:rsidR="00022293">
        <w:instrText xml:space="preserve"> ADDIN ZOTERO_ITEM CSL_CITATION {"citationID":"lY7VMe3Y","properties":{"formattedCitation":"(Gedde, Feuer, Lim, Barton, Goyal, Ahmed, Brandt, Banitt, et al., 2022)","plainCitation":"(Gedde, Feuer, Lim, Barton, Goyal, Ahmed, Brandt, Banitt, et al., 2022)","noteIndex":0},"citationItems":[{"id":767,"uris":["http://zotero.org/users/15573016/items/58W2HZTC"],"itemData":{"id":767,"type":"article-journal","container-title":"Ophthalmology","DOI":"10.1016/j.ophtha.2022.07.003","ISSN":"01616420","issue":"12","journalAbbreviation":"Ophthalmology","language":"en","page":"1344-1356","source":"DOI.org (Crossref)","title":"Treatment Outcomes in the Primary Tube Versus Trabeculectomy Study after 5 Years of Follow-up","URL":"https://linkinghub.elsevier.com/retrieve/pii/S016164202200519X","volume":"129","author":[{"family":"Gedde","given":"Steven J."},{"family":"Feuer","given":"William J."},{"family":"Lim","given":"Kin Sheng"},{"family":"Barton","given":"Keith"},{"family":"Goyal","given":"Saurabh"},{"family":"Ahmed","given":"Iqbal I."},{"family":"Brandt","given":"James D."},{"family":"Banitt","given":"Michael"},{"family":"Budenz","given":"Donald"},{"family":"Lee","given":"Richard"},{"family":"Palmberg","given":"Paul"},{"family":"Parrish","given":"Richard"},{"family":"Vazquez","given":"Luis"},{"family":"Wellik","given":"Sarah"},{"family":"Werner","given":"Mark"},{"family":"Zink","given":"Jeffrey"},{"family":"Khatana","given":"Anup"},{"family":"Grover","given":"Davinder"},{"family":"Neelakantan","given":"Arvind"},{"family":"Panarelli","given":"Joseph"},{"family":"Sidoti","given":"Paul"},{"family":"Tsai","given":"James"},{"family":"Vinod","given":"Kateki"},{"family":"Lind","given":"John"},{"family":"Shields","given":"Steven"},{"family":"Sherwood","given":"Mark"},{"family":"Khaimi","given":"Mahmoud"},{"family":"Sankar","given":"Prithvi"},{"family":"Ansari","given":"Husam"},{"family":"Miller-Ellis","given":"Eydie"},{"family":"Feldman","given":"Robert"},{"family":"Baker","given":"Laura"},{"family":"Bell","given":"Nicholas"},{"family":"Williams","given":"Donna"},{"family":"Prum","given":"Bruce"},{"family":"Ramulu","given":"Pradeep"},{"family":"Jampel","given":"Henry"},{"family":"Londono","given":"Luz"},{"family":"Schiffman","given":"Joyce"},{"family":"Shi","given":"Wei"},{"family":"Silva","given":"Yolanda"},{"family":"Vanner","given":"Elizabeth"},{"family":"Chen","given":"Philip"},{"family":"Heuer","given":"Dale"},{"family":"Singh","given":"Kuldev"},{"family":"Wright","given":"Martha"}],"accessed":{"date-parts":[["2025",3,26]]},"issued":{"date-parts":[["2022",12]]},"citation-key":"gedde2022a"}}],"schema":"https://github.com/citation-style-language/schema/raw/master/csl-citation.json"} </w:instrText>
      </w:r>
      <w:r w:rsidR="00022293">
        <w:fldChar w:fldCharType="separate"/>
      </w:r>
      <w:r w:rsidR="00022293">
        <w:rPr>
          <w:noProof/>
        </w:rPr>
        <w:t>(Gedde, Feuer, Lim, Barton, Goyal, Ahmed, Brandt, Banitt, et al., 2022)</w:t>
      </w:r>
      <w:r w:rsidR="00022293">
        <w:fldChar w:fldCharType="end"/>
      </w:r>
      <w:r w:rsidR="00022293">
        <w:t xml:space="preserve">, </w:t>
      </w:r>
      <w:r w:rsidR="000E1A36" w:rsidRPr="000E1A36">
        <w:t xml:space="preserve">while in the Ahmed versus Baerveldt study, cumulative reoperation rates were 18% and 11%, respectively </w:t>
      </w:r>
      <w:r w:rsidR="00022293">
        <w:fldChar w:fldCharType="begin"/>
      </w:r>
      <w:r w:rsidR="00022293">
        <w:instrText xml:space="preserve"> ADDIN ZOTERO_ITEM CSL_CITATION {"citationID":"utBjRWp1","properties":{"formattedCitation":"(Christakis et al., 2016, 2017)","plainCitation":"(Christakis et al., 2016, 2017)","noteIndex":0},"citationItems":[{"id":1706,"uris":["http://zotero.org/users/15573016/items/7TL5DFB8"],"itemData":{"id":1706,"type":"article-journal","container-title":"Ophthalmology","DOI":"10.1016/j.ophtha.2016.06.035","ISSN":"01616420","issue":"10","journalAbbreviation":"Ophthalmology","language":"en","page":"2093-2102","source":"DOI.org (Crossref)","title":"The Ahmed Versus Baerveldt Study","URL":"https://linkinghub.elsevier.com/retrieve/pii/S0161642016305036","volume":"123","author":[{"family":"Christakis","given":"Panos G."},{"family":"Kalenak","given":"Jeffrey W."},{"family":"Tsai","given":"James C."},{"family":"Zurakowski","given":"David"},{"family":"Kammer","given":"Jeffrey A."},{"family":"Harasymowycz","given":"Paul J."},{"family":"Mura","given":"Juan J."},{"family":"Cantor","given":"Louis B."},{"family":"Ahmed","given":"Iqbal I.K."}],"accessed":{"date-parts":[["2025",7,1]]},"issued":{"date-parts":[["2016",10]]},"citation-key":"christakis2016"}},{"id":1469,"uris":["http://zotero.org/users/15573016/items/7D5D2FXI"],"itemData":{"id":1469,"type":"article-journal","abstract":"PURPOSE: To determine the relative efficacy of the Ahmed-FP7 and Baerveldt BG101-350 implants.\nDESIGN: Pooled analysis of 2 multicenter, randomized clinical trials.\nMETHODS: A total of 514 patients aged 18 or older with uncontrolled glaucoma that had failed or were at high risk of failing trabeculectomy were randomized to receive an Ahmed implant (n = 267) or Baerveldt implant (n = 247). Cumulative failure rates (using an intraocular pressure [IOP] target of 6-18 mm Hg inclusive), de novo glaucoma surgery rates, mean IOP, mean glaucoma medication use, and visual acuity were compared.\nRESULTS: Baseline characteristics were similar between groups. Mean preoperative IOP of the study population was 31.5 ± 11.3 mm Hg on an average of 3.3 ± 1.1 glaucoma medications. At 5 years, mean IOP was 15.8 ± 5.2 mm Hg in the Ahmed group and 13.2 ± 4.7 mm Hg in the Baerveldt group (P &lt; .001). Mean glaucoma medication use was 1.9 ± 1.5 in the Ahmed group and 1.5 ± 1.4 in the Baerveldt group (P = .007). The cumulative failure rate at 5 years was 49% in the Ahmed group and 37% in the Baerveldt group (P = .007). High IOP was the most common reason for failure in both groups, and de novo glaucoma surgery was required in 16% of the Ahmed group and 8% of the Baerveldt group (P = .006). Failure owing to hypotony occurred in 0.4% of the Ahmed group and 4.5% of the Baerveldt group (P = .002). Visual outcomes were similar between groups (P = .90).\nCONCLUSIONS: The Baerveldt group had a lower failure rate, lower rate of de novo glaucoma surgery, and lower mean IOP on fewer medications than the Ahmed group. Baerveldt implantation carried a higher risk of hypotony.","container-title":"American Journal of Ophthalmology","DOI":"10.1016/j.ajo.2017.01.003","ISSN":"1879-1891","journalAbbreviation":"Am J Ophthalmol","language":"eng","note":"PMID: 28104418","page":"118-126","source":"PubMed","title":"Five-Year Pooled Data Analysis of the Ahmed Baerveldt Comparison Study and the Ahmed Versus Baerveldt Study","volume":"176","author":[{"family":"Christakis","given":"Panos G."},{"family":"Zhang","given":"Dongyu"},{"family":"Budenz","given":"Donald L."},{"family":"Barton","given":"Keith"},{"family":"Tsai","given":"James C."},{"family":"Ahmed","given":"Iqbal I. K."},{"literal":"ABC-AVB Study Groups"}],"issued":{"date-parts":[["2017",4]]},"citation-key":"christakis2017"}}],"schema":"https://github.com/citation-style-language/schema/raw/master/csl-citation.json"} </w:instrText>
      </w:r>
      <w:r w:rsidR="00022293">
        <w:fldChar w:fldCharType="separate"/>
      </w:r>
      <w:r w:rsidR="00022293">
        <w:rPr>
          <w:noProof/>
        </w:rPr>
        <w:t>(Christakis et al., 2016, 2017)</w:t>
      </w:r>
      <w:r w:rsidR="00022293">
        <w:fldChar w:fldCharType="end"/>
      </w:r>
      <w:r w:rsidR="00DC08AE">
        <w:t>.</w:t>
      </w:r>
    </w:p>
    <w:p w14:paraId="094F1158" w14:textId="77777777" w:rsidR="0024401C" w:rsidRDefault="0024401C" w:rsidP="0024401C">
      <w:pPr>
        <w:spacing w:line="360" w:lineRule="auto"/>
        <w:jc w:val="both"/>
      </w:pPr>
    </w:p>
    <w:p w14:paraId="466A3FE8" w14:textId="77777777" w:rsidR="0024401C" w:rsidRDefault="003345A8" w:rsidP="0024401C">
      <w:pPr>
        <w:spacing w:line="360" w:lineRule="auto"/>
        <w:jc w:val="both"/>
      </w:pPr>
      <w:r>
        <w:t>The patency of the created fistula, the tube/bleb pathway, and long-term wound healing vastly influence postoperative complications after penetrating glaucoma surgery</w:t>
      </w:r>
      <w:r w:rsidR="0024401C">
        <w:t xml:space="preserve"> (</w:t>
      </w:r>
      <w:r w:rsidR="0024401C" w:rsidRPr="0024401C">
        <w:rPr>
          <w:i/>
          <w:iCs/>
        </w:rPr>
        <w:fldChar w:fldCharType="begin"/>
      </w:r>
      <w:r w:rsidR="0024401C" w:rsidRPr="0024401C">
        <w:rPr>
          <w:i/>
          <w:iCs/>
        </w:rPr>
        <w:instrText xml:space="preserve"> REF _Ref213182137 \h </w:instrText>
      </w:r>
      <w:r w:rsidR="0024401C" w:rsidRPr="0024401C">
        <w:rPr>
          <w:i/>
          <w:iCs/>
        </w:rPr>
      </w:r>
      <w:r w:rsidR="0024401C">
        <w:rPr>
          <w:i/>
          <w:iCs/>
        </w:rPr>
        <w:instrText xml:space="preserve"> \* MERGEFORMAT </w:instrText>
      </w:r>
      <w:r w:rsidR="0024401C" w:rsidRPr="0024401C">
        <w:rPr>
          <w:i/>
          <w:iCs/>
        </w:rPr>
        <w:fldChar w:fldCharType="separate"/>
      </w:r>
      <w:r w:rsidR="0024401C" w:rsidRPr="0024401C">
        <w:rPr>
          <w:i/>
          <w:iCs/>
        </w:rPr>
        <w:t xml:space="preserve">Table </w:t>
      </w:r>
      <w:r w:rsidR="0024401C" w:rsidRPr="0024401C">
        <w:rPr>
          <w:i/>
          <w:iCs/>
          <w:noProof/>
        </w:rPr>
        <w:t>2</w:t>
      </w:r>
      <w:r w:rsidR="0024401C" w:rsidRPr="0024401C">
        <w:rPr>
          <w:i/>
          <w:iCs/>
        </w:rPr>
        <w:fldChar w:fldCharType="end"/>
      </w:r>
      <w:r w:rsidR="0024401C">
        <w:t>)</w:t>
      </w:r>
      <w:r>
        <w:t>.</w:t>
      </w:r>
      <w:r w:rsidR="00444169">
        <w:t xml:space="preserve"> </w:t>
      </w:r>
      <w:r w:rsidR="001861FE">
        <w:t xml:space="preserve">Early events (≤90 days) are </w:t>
      </w:r>
      <w:r>
        <w:t>related to</w:t>
      </w:r>
      <w:r w:rsidR="001861FE">
        <w:t xml:space="preserve"> pressure disequilibrium</w:t>
      </w:r>
      <w:r>
        <w:t xml:space="preserve"> (overfiltration)</w:t>
      </w:r>
      <w:r w:rsidR="001861FE">
        <w:t xml:space="preserve"> and wound instability</w:t>
      </w:r>
      <w:r>
        <w:t xml:space="preserve"> caused by an immature bleb, </w:t>
      </w:r>
      <w:r w:rsidR="00B87695">
        <w:t>which lacks</w:t>
      </w:r>
      <w:r>
        <w:t xml:space="preserve"> sufficient resistance to control aqueous outflow.</w:t>
      </w:r>
      <w:r w:rsidR="001861FE">
        <w:t xml:space="preserve"> Hypotony is </w:t>
      </w:r>
      <w:r>
        <w:t xml:space="preserve">a commonly reported postoperative </w:t>
      </w:r>
      <w:r w:rsidR="001861FE">
        <w:t>complication</w:t>
      </w:r>
      <w:r>
        <w:t xml:space="preserve">. It has been reported in </w:t>
      </w:r>
      <w:r w:rsidR="001861FE">
        <w:t>approximately 9% after trabeculectomy, 8% with Ahmed valves, and up to 17% with Baerveldt implants</w:t>
      </w:r>
      <w:r>
        <w:t>. It is assumed to arise</w:t>
      </w:r>
      <w:r w:rsidR="001861FE">
        <w:t xml:space="preserve"> </w:t>
      </w:r>
      <w:r>
        <w:t>due to overfiltration</w:t>
      </w:r>
      <w:r w:rsidR="001861FE">
        <w:t xml:space="preserve"> before </w:t>
      </w:r>
      <w:r>
        <w:t>the</w:t>
      </w:r>
      <w:r w:rsidR="001861FE">
        <w:t xml:space="preserve"> bleb capsule or plate capsule provides </w:t>
      </w:r>
      <w:r>
        <w:t xml:space="preserve">sufficient </w:t>
      </w:r>
      <w:r w:rsidR="001861FE">
        <w:t>resistance</w:t>
      </w:r>
      <w:r>
        <w:t xml:space="preserve"> to control the outflow of aqueous humor</w:t>
      </w:r>
      <w:r w:rsidR="001861FE">
        <w:t xml:space="preserve"> </w:t>
      </w:r>
      <w:r w:rsidR="003A1B65">
        <w:fldChar w:fldCharType="begin"/>
      </w:r>
      <w:r w:rsidR="003A1B65">
        <w:instrText xml:space="preserve"> ADDIN ZOTERO_ITEM CSL_CITATION {"citationID":"5jYiC3H2","properties":{"formattedCitation":"(Budenz et al., 2011; Gedde, Feuer, Lim, Barton, Goyal, Ahmed, Brandt, &amp; Primary Tube Versus Trabeculectomy Study Group, 2022)","plainCitation":"(Budenz et al., 2011; Gedde, Feuer, Lim, Barton, Goyal, Ahmed, Brandt, &amp; Primary Tube Versus Trabeculectomy Study Group, 2022)","noteIndex":0},"citationItems":[{"id":1471,"uris":["http://zotero.org/users/15573016/items/YU9LGLXA"],"itemData":{"id":1471,"type":"article-journal","abstract":"PURPOSE: To determine the relative efficacy and complications of the Ahmed glaucoma valve (AGV) model FP7 (New World Medical, Ranchos Cucamonga, CA) and the Baerveldt glaucoma implant (BGI) model 101-350 (Abbott Medical Optics, Abbott Park, IL) in refractory glaucoma.\nDESIGN: Multicenter, randomized, controlled clinical trial.\nPARTICIPANTS: Two hundred seventy-six patients, including 143 in the AGV group and 133 in the BGI group.\nMETHODS: Patients 18 to 85 years of age with refractory glaucoma having intraocular pressure (IOP) of 18 mmHg or more in whom an aqueous shunt was planned were randomized to undergo implantation of either an AGV or a BGI.\nMAIN OUTCOME MEASURES: The primary outcome was failure, defined as IOP &gt;21 mmHg or not reduced by 20% from baseline, IOP ≤5 mmHg, reoperation for glaucoma or removal of implant, or loss of light perception vision. Secondary outcomes included mean IOP, visual acuity, use of supplemental medical therapy, and complications.\nRESULTS: Preoperative IOP (mean±standard deviation [SD]) was 31.2±11.2 mmHg in the AGV group and 31.8±12.5 mmHg in the BGI group (P = 0.71). At 1 year, mean±SD IOP was 15.4±5.5 mmHg in the AGV group and 13.2±6.8 mmHg in the BGI group (P = 0.007). The mean±SD number of glaucoma medications was 1.8±1.3 in the AGV group and 1.5±1.4 in the BGI group (P = 0.071). The cumulative probability of failure was 16.4% (standard error [SE], 3.1%) in the AGV group and 14.0% (SE, 3.1%) in the BGI group at 1 year (P = 0.52). More patients experienced early postoperative complications in the BGI group (n = 77; 58%) compared with the AGV group (n = 61; 43%; P = 0.016). Serious postoperative complications associated with reoperation, vision loss of ≥2 Snellen lines, or both occurred in 29 patients (20%) in the AGV group and in 45 patients (34%) in the BGI group (P = 0.014).\nCONCLUSIONS: Although the average IOP after 1 year was slightly higher in patients who received an AGV, there were fewer early and serious postoperative complications associated with the use of the AGV than the BGI.","container-title":"Ophthalmology","DOI":"10.1016/j.ophtha.2010.07.016","ISSN":"1549-4713","issue":"3","journalAbbreviation":"Ophthalmology","language":"eng","note":"PMID: 20932583\nPMCID: PMC3020266","page":"443-452","source":"PubMed","title":"Treatment outcomes in the Ahmed Baerveldt Comparison Study after 1 year of follow-up","volume":"118","author":[{"family":"Budenz","given":"Donald L."},{"family":"Barton","given":"Keith"},{"family":"Feuer","given":"William J."},{"family":"Schiffman","given":"Joyce"},{"family":"Costa","given":"Vital P."},{"family":"Godfrey","given":"David G."},{"family":"Buys","given":"Yvonne M."},{"literal":"Ahmed Baerveldt Comparison Study Group"}],"issued":{"date-parts":[["2011",3]]},"citation-key":"budenz2011"}},{"id":676,"uris":["http://zotero.org/users/15573016/items/ISX77UMR"],"itemData":{"id":676,"type":"article-journal","abstract":"PURPOSE: To describe postoperative complications encountered in the Primary Tube Versus Trabeculectomy (PTVT) Study during 5 years of follow-up.\nDESIGN: Multicenter randomized clinical trial.\nPARTICIPANTS: A total of 242 eyes of 242 patients with medically uncontrolled glaucoma and no previous incisional ocular surgery, including 125 patients in the tube group and 117 patients in the trabeculectomy group.\nMETHODS: Patients were enrolled at 16 clinical centers and randomly assigned to treatment with a tube shunt (350-mm2 Baerveldt glaucoma implant) or trabeculectomy with mitomycin C (MMC, 0.4 mg/ml for 2 minutes).\nMAIN OUTCOME MEASURES: Surgical complications, reoperations for complications, visual acuity, and cataract progression.\nRESULTS: Early postoperative complications occurred in 24 patients (19%) in the tube group and 40 patients (34%) in the trabeculectomy group (P = 0.013). Late postoperative complications developed in 27 patients (22%) in the tube group and 32 patients (27%) in the trabeculectomy group (P = 0.37). Serious complications producing vision loss and/or requiring a reoperation were observed in 3 patients (2%) in the tube group and 9 patients (8%) in the trabeculectomy group (P = 0.11). Cataract progression was seen in 65 patients (52%) in the tube group and 52 patients (44%) in the trabeculectomy group (P = 0.30). Surgical complications were not associated with a higher rate of treatment failure (P = 0.61), vision loss (P = 1.00), or cataract progression (P = 0.77) CONCLUSIONS: A large number of surgical complications were observed in the PTVT Study, but most were transient and self-limited. The incidence of early postoperative complications was higher following trabeculectomy with MMC than with tube shunt surgery. The rates of late postoperative complications, serious complications, and cataract progression were similar with both surgical procedures after 5 years of follow-up. Surgical complications did not increase the risk of treatment failure, vision loss, or cataract progression.","container-title":"Ophthalmology","DOI":"10.1016/j.ophtha.2022.07.004","ISSN":"1549-4713","issue":"12","journalAbbreviation":"Ophthalmology","language":"eng","note":"PMID: 35835336\nPMCID: PMC9691562","page":"1357-1367","source":"PubMed","title":"Postoperative Complications in the Primary Tube Versus Trabeculectomy Study During 5 Years of Follow-up","volume":"129","author":[{"family":"Gedde","given":"Steven J."},{"family":"Feuer","given":"William J."},{"family":"Lim","given":"Kin Sheng"},{"family":"Barton","given":"Keith"},{"family":"Goyal","given":"Saurabh"},{"family":"Ahmed","given":"Iqbal I."},{"family":"Brandt","given":"James D."},{"literal":"Primary Tube Versus Trabeculectomy Study Group"}],"issued":{"date-parts":[["2022",12]]},"citation-key":"gedde2022"}}],"schema":"https://github.com/citation-style-language/schema/raw/master/csl-citation.json"} </w:instrText>
      </w:r>
      <w:r w:rsidR="003A1B65">
        <w:fldChar w:fldCharType="separate"/>
      </w:r>
      <w:r w:rsidR="003A1B65">
        <w:rPr>
          <w:noProof/>
        </w:rPr>
        <w:t>(Budenz et al., 2011; Gedde, Feuer, Lim, Barton, Goyal, Ahmed, Brandt, &amp; Primary Tube Versus Trabeculectomy Study Group, 2022)</w:t>
      </w:r>
      <w:r w:rsidR="003A1B65">
        <w:fldChar w:fldCharType="end"/>
      </w:r>
      <w:r w:rsidR="001861FE">
        <w:t xml:space="preserve">. </w:t>
      </w:r>
    </w:p>
    <w:p w14:paraId="5A9E22C1" w14:textId="1C9976AB" w:rsidR="00AF0041" w:rsidRPr="00444169" w:rsidRDefault="003345A8" w:rsidP="0024401C">
      <w:pPr>
        <w:spacing w:line="360" w:lineRule="auto"/>
        <w:ind w:firstLine="425"/>
        <w:jc w:val="both"/>
      </w:pPr>
      <w:r>
        <w:t>Another postoperative complication is c</w:t>
      </w:r>
      <w:r w:rsidR="001861FE">
        <w:t>horoidal effusion (</w:t>
      </w:r>
      <w:r w:rsidR="003A1B65">
        <w:t>1.1-</w:t>
      </w:r>
      <w:r w:rsidR="001861FE">
        <w:t xml:space="preserve">6% after trabeculectomy; </w:t>
      </w:r>
      <w:r w:rsidR="003A1B65">
        <w:t>2-</w:t>
      </w:r>
      <w:r w:rsidR="001861FE">
        <w:t>9% after Baerveldt)</w:t>
      </w:r>
      <w:r>
        <w:t>. It</w:t>
      </w:r>
      <w:r w:rsidR="001861FE">
        <w:t xml:space="preserve"> </w:t>
      </w:r>
      <w:r>
        <w:t>is caused by</w:t>
      </w:r>
      <w:r w:rsidR="001861FE">
        <w:t xml:space="preserve"> low IOP</w:t>
      </w:r>
      <w:r>
        <w:t>, which</w:t>
      </w:r>
      <w:r w:rsidR="001861FE">
        <w:t xml:space="preserve"> </w:t>
      </w:r>
      <w:r>
        <w:t>leads to</w:t>
      </w:r>
      <w:r w:rsidR="001861FE">
        <w:t xml:space="preserve"> transudation into the suprachoroidal space</w:t>
      </w:r>
      <w:r>
        <w:t>. If hypotony persists, the effusion can progress to choroidal detachment</w:t>
      </w:r>
      <w:r w:rsidR="001861FE">
        <w:t xml:space="preserve"> </w:t>
      </w:r>
      <w:r w:rsidR="003A1B65">
        <w:fldChar w:fldCharType="begin"/>
      </w:r>
      <w:r w:rsidR="003A1B65">
        <w:instrText xml:space="preserve"> ADDIN ZOTERO_ITEM CSL_CITATION {"citationID":"1psPf9id","properties":{"formattedCitation":"(Budenz et al., 2011; Gedde, Feuer, Lim, Barton, Goyal, Ahmed, Brandt, &amp; Primary Tube Versus Trabeculectomy Study Group, 2022; Olayanju et al., 2015)","plainCitation":"(Budenz et al., 2011; Gedde, Feuer, Lim, Barton, Goyal, Ahmed, Brandt, &amp; Primary Tube Versus Trabeculectomy Study Group, 2022; Olayanju et al., 2015)","noteIndex":0},"citationItems":[{"id":1471,"uris":["http://zotero.org/users/15573016/items/YU9LGLXA"],"itemData":{"id":1471,"type":"article-journal","abstract":"PURPOSE: To determine the relative efficacy and complications of the Ahmed glaucoma valve (AGV) model FP7 (New World Medical, Ranchos Cucamonga, CA) and the Baerveldt glaucoma implant (BGI) model 101-350 (Abbott Medical Optics, Abbott Park, IL) in refractory glaucoma.\nDESIGN: Multicenter, randomized, controlled clinical trial.\nPARTICIPANTS: Two hundred seventy-six patients, including 143 in the AGV group and 133 in the BGI group.\nMETHODS: Patients 18 to 85 years of age with refractory glaucoma having intraocular pressure (IOP) of 18 mmHg or more in whom an aqueous shunt was planned were randomized to undergo implantation of either an AGV or a BGI.\nMAIN OUTCOME MEASURES: The primary outcome was failure, defined as IOP &gt;21 mmHg or not reduced by 20% from baseline, IOP ≤5 mmHg, reoperation for glaucoma or removal of implant, or loss of light perception vision. Secondary outcomes included mean IOP, visual acuity, use of supplemental medical therapy, and complications.\nRESULTS: Preoperative IOP (mean±standard deviation [SD]) was 31.2±11.2 mmHg in the AGV group and 31.8±12.5 mmHg in the BGI group (P = 0.71). At 1 year, mean±SD IOP was 15.4±5.5 mmHg in the AGV group and 13.2±6.8 mmHg in the BGI group (P = 0.007). The mean±SD number of glaucoma medications was 1.8±1.3 in the AGV group and 1.5±1.4 in the BGI group (P = 0.071). The cumulative probability of failure was 16.4% (standard error [SE], 3.1%) in the AGV group and 14.0% (SE, 3.1%) in the BGI group at 1 year (P = 0.52). More patients experienced early postoperative complications in the BGI group (n = 77; 58%) compared with the AGV group (n = 61; 43%; P = 0.016). Serious postoperative complications associated with reoperation, vision loss of ≥2 Snellen lines, or both occurred in 29 patients (20%) in the AGV group and in 45 patients (34%) in the BGI group (P = 0.014).\nCONCLUSIONS: Although the average IOP after 1 year was slightly higher in patients who received an AGV, there were fewer early and serious postoperative complications associated with the use of the AGV than the BGI.","container-title":"Ophthalmology","DOI":"10.1016/j.ophtha.2010.07.016","ISSN":"1549-4713","issue":"3","journalAbbreviation":"Ophthalmology","language":"eng","note":"PMID: 20932583\nPMCID: PMC3020266","page":"443-452","source":"PubMed","title":"Treatment outcomes in the Ahmed Baerveldt Comparison Study after 1 year of follow-up","volume":"118","author":[{"family":"Budenz","given":"Donald L."},{"family":"Barton","given":"Keith"},{"family":"Feuer","given":"William J."},{"family":"Schiffman","given":"Joyce"},{"family":"Costa","given":"Vital P."},{"family":"Godfrey","given":"David G."},{"family":"Buys","given":"Yvonne M."},{"literal":"Ahmed Baerveldt Comparison Study Group"}],"issued":{"date-parts":[["2011",3]]},"citation-key":"budenz2011"}},{"id":676,"uris":["http://zotero.org/users/15573016/items/ISX77UMR"],"itemData":{"id":676,"type":"article-journal","abstract":"PURPOSE: To describe postoperative complications encountered in the Primary Tube Versus Trabeculectomy (PTVT) Study during 5 years of follow-up.\nDESIGN: Multicenter randomized clinical trial.\nPARTICIPANTS: A total of 242 eyes of 242 patients with medically uncontrolled glaucoma and no previous incisional ocular surgery, including 125 patients in the tube group and 117 patients in the trabeculectomy group.\nMETHODS: Patients were enrolled at 16 clinical centers and randomly assigned to treatment with a tube shunt (350-mm2 Baerveldt glaucoma implant) or trabeculectomy with mitomycin C (MMC, 0.4 mg/ml for 2 minutes).\nMAIN OUTCOME MEASURES: Surgical complications, reoperations for complications, visual acuity, and cataract progression.\nRESULTS: Early postoperative complications occurred in 24 patients (19%) in the tube group and 40 patients (34%) in the trabeculectomy group (P = 0.013). Late postoperative complications developed in 27 patients (22%) in the tube group and 32 patients (27%) in the trabeculectomy group (P = 0.37). Serious complications producing vision loss and/or requiring a reoperation were observed in 3 patients (2%) in the tube group and 9 patients (8%) in the trabeculectomy group (P = 0.11). Cataract progression was seen in 65 patients (52%) in the tube group and 52 patients (44%) in the trabeculectomy group (P = 0.30). Surgical complications were not associated with a higher rate of treatment failure (P = 0.61), vision loss (P = 1.00), or cataract progression (P = 0.77) CONCLUSIONS: A large number of surgical complications were observed in the PTVT Study, but most were transient and self-limited. The incidence of early postoperative complications was higher following trabeculectomy with MMC than with tube shunt surgery. The rates of late postoperative complications, serious complications, and cataract progression were similar with both surgical procedures after 5 years of follow-up. Surgical complications did not increase the risk of treatment failure, vision loss, or cataract progression.","container-title":"Ophthalmology","DOI":"10.1016/j.ophtha.2022.07.004","ISSN":"1549-4713","issue":"12","journalAbbreviation":"Ophthalmology","language":"eng","note":"PMID: 35835336\nPMCID: PMC9691562","page":"1357-1367","source":"PubMed","title":"Postoperative Complications in the Primary Tube Versus Trabeculectomy Study During 5 Years of Follow-up","volume":"129","author":[{"family":"Gedde","given":"Steven J."},{"family":"Feuer","given":"William J."},{"family":"Lim","given":"Kin Sheng"},{"family":"Barton","given":"Keith"},{"family":"Goyal","given":"Saurabh"},{"family":"Ahmed","given":"Iqbal I."},{"family":"Brandt","given":"James D."},{"literal":"Primary Tube Versus Trabeculectomy Study Group"}],"issued":{"date-parts":[["2022",12]]},"citation-key":"gedde2022"}},{"id":1938,"uris":["http://zotero.org/users/15573016/items/QE5G5YAK"],"itemData":{"id":1938,"type":"article-journal","container-title":"JAMA Ophthalmology","DOI":"10.1001/jamaophthalmol.2015.57","ISSN":"2168-6165","issue":"5","journalAbbreviation":"JAMA Ophthalmol","language":"en","page":"574","source":"DOI.org (Crossref)","title":"Trabeculectomy-Related Complications in Olmsted County, Minnesota, 1985 Through 2010","URL":"http://archopht.jamanetwork.com/article.aspx?doi=10.1001/jamaophthalmol.2015.57","volume":"133","author":[{"family":"Olayanju","given":"Jessica A."},{"family":"Hassan","given":"Mohamed B."},{"family":"Hodge","given":"David O."},{"family":"Khanna","given":"Cheryl L."}],"accessed":{"date-parts":[["2025",7,6]]},"issued":{"date-parts":[["2015",5,1]]},"citation-key":"olayanju2015f"}}],"schema":"https://github.com/citation-style-language/schema/raw/master/csl-citation.json"} </w:instrText>
      </w:r>
      <w:r w:rsidR="003A1B65">
        <w:fldChar w:fldCharType="separate"/>
      </w:r>
      <w:r w:rsidR="003A1B65">
        <w:rPr>
          <w:noProof/>
        </w:rPr>
        <w:t>(Budenz et al., 2011; Gedde, Feuer, Lim, Barton, Goyal, Ahmed, Brandt, &amp; Primary Tube Versus Trabeculectomy Study Group, 2022; Olayanju et al., 2015)</w:t>
      </w:r>
      <w:r w:rsidR="003A1B65">
        <w:fldChar w:fldCharType="end"/>
      </w:r>
      <w:r w:rsidR="003A1B65">
        <w:t xml:space="preserve">. </w:t>
      </w:r>
      <w:r w:rsidR="001861FE">
        <w:t>Shallow or flat anterior chamber (up to 10% with Baerveldt</w:t>
      </w:r>
      <w:r w:rsidR="003A1B65">
        <w:t xml:space="preserve"> </w:t>
      </w:r>
      <w:r w:rsidR="003A1B65">
        <w:fldChar w:fldCharType="begin"/>
      </w:r>
      <w:r w:rsidR="003A1B65">
        <w:instrText xml:space="preserve"> ADDIN ZOTERO_ITEM CSL_CITATION {"citationID":"PSPHyRlN","properties":{"formattedCitation":"(Budenz et al., 2011)","plainCitation":"(Budenz et al., 2011)","noteIndex":0},"citationItems":[{"id":1471,"uris":["http://zotero.org/users/15573016/items/YU9LGLXA"],"itemData":{"id":1471,"type":"article-journal","abstract":"PURPOSE: To determine the relative efficacy and complications of the Ahmed glaucoma valve (AGV) model FP7 (New World Medical, Ranchos Cucamonga, CA) and the Baerveldt glaucoma implant (BGI) model 101-350 (Abbott Medical Optics, Abbott Park, IL) in refractory glaucoma.\nDESIGN: Multicenter, randomized, controlled clinical trial.\nPARTICIPANTS: Two hundred seventy-six patients, including 143 in the AGV group and 133 in the BGI group.\nMETHODS: Patients 18 to 85 years of age with refractory glaucoma having intraocular pressure (IOP) of 18 mmHg or more in whom an aqueous shunt was planned were randomized to undergo implantation of either an AGV or a BGI.\nMAIN OUTCOME MEASURES: The primary outcome was failure, defined as IOP &gt;21 mmHg or not reduced by 20% from baseline, IOP ≤5 mmHg, reoperation for glaucoma or removal of implant, or loss of light perception vision. Secondary outcomes included mean IOP, visual acuity, use of supplemental medical therapy, and complications.\nRESULTS: Preoperative IOP (mean±standard deviation [SD]) was 31.2±11.2 mmHg in the AGV group and 31.8±12.5 mmHg in the BGI group (P = 0.71). At 1 year, mean±SD IOP was 15.4±5.5 mmHg in the AGV group and 13.2±6.8 mmHg in the BGI group (P = 0.007). The mean±SD number of glaucoma medications was 1.8±1.3 in the AGV group and 1.5±1.4 in the BGI group (P = 0.071). The cumulative probability of failure was 16.4% (standard error [SE], 3.1%) in the AGV group and 14.0% (SE, 3.1%) in the BGI group at 1 year (P = 0.52). More patients experienced early postoperative complications in the BGI group (n = 77; 58%) compared with the AGV group (n = 61; 43%; P = 0.016). Serious postoperative complications associated with reoperation, vision loss of ≥2 Snellen lines, or both occurred in 29 patients (20%) in the AGV group and in 45 patients (34%) in the BGI group (P = 0.014).\nCONCLUSIONS: Although the average IOP after 1 year was slightly higher in patients who received an AGV, there were fewer early and serious postoperative complications associated with the use of the AGV than the BGI.","container-title":"Ophthalmology","DOI":"10.1016/j.ophtha.2010.07.016","ISSN":"1549-4713","issue":"3","journalAbbreviation":"Ophthalmology","language":"eng","note":"PMID: 20932583\nPMCID: PMC3020266","page":"443-452","source":"PubMed","title":"Treatment outcomes in the Ahmed Baerveldt Comparison Study after 1 year of follow-up","volume":"118","author":[{"family":"Budenz","given":"Donald L."},{"family":"Barton","given":"Keith"},{"family":"Feuer","given":"William J."},{"family":"Schiffman","given":"Joyce"},{"family":"Costa","given":"Vital P."},{"family":"Godfrey","given":"David G."},{"family":"Buys","given":"Yvonne M."},{"literal":"Ahmed Baerveldt Comparison Study Group"}],"issued":{"date-parts":[["2011",3]]},"citation-key":"budenz2011"}}],"schema":"https://github.com/citation-style-language/schema/raw/master/csl-citation.json"} </w:instrText>
      </w:r>
      <w:r w:rsidR="003A1B65">
        <w:fldChar w:fldCharType="separate"/>
      </w:r>
      <w:r w:rsidR="003A1B65">
        <w:rPr>
          <w:noProof/>
        </w:rPr>
        <w:t>(Budenz et al., 2011)</w:t>
      </w:r>
      <w:r w:rsidR="003A1B65">
        <w:fldChar w:fldCharType="end"/>
      </w:r>
      <w:r w:rsidR="001861FE">
        <w:t>) reflects forward displacement of the lens</w:t>
      </w:r>
      <w:r w:rsidR="00B87695">
        <w:t>-</w:t>
      </w:r>
      <w:r w:rsidR="001861FE">
        <w:t xml:space="preserve">iris diaphragm under hypotonic conditions. Bleb or wound leaks (≈6%) </w:t>
      </w:r>
      <w:r>
        <w:t>result from</w:t>
      </w:r>
      <w:r w:rsidR="001861FE">
        <w:t xml:space="preserve"> inadequate conjunctival closure or overfiltration</w:t>
      </w:r>
      <w:r>
        <w:t xml:space="preserve">. </w:t>
      </w:r>
      <w:r w:rsidR="00B87695">
        <w:t xml:space="preserve">Leaks </w:t>
      </w:r>
      <w:r>
        <w:t>pose a</w:t>
      </w:r>
      <w:r w:rsidR="00B87695">
        <w:t xml:space="preserve"> risk of</w:t>
      </w:r>
      <w:r w:rsidR="00E13E2C">
        <w:t xml:space="preserve"> infection because they provide a </w:t>
      </w:r>
      <w:r w:rsidR="001861FE">
        <w:t xml:space="preserve">gateway </w:t>
      </w:r>
      <w:r w:rsidR="00E13E2C">
        <w:t>for bacteria</w:t>
      </w:r>
      <w:r w:rsidR="001861FE">
        <w:t xml:space="preserve">. </w:t>
      </w:r>
      <w:r w:rsidR="00AF0041">
        <w:t xml:space="preserve">Endophthalmitis has been reported in approximately 1% of cases postoperatively </w:t>
      </w:r>
      <w:r w:rsidR="00AF0041">
        <w:fldChar w:fldCharType="begin"/>
      </w:r>
      <w:r w:rsidR="00AF0041">
        <w:instrText xml:space="preserve"> ADDIN ZOTERO_ITEM CSL_CITATION {"citationID":"wyhXHPoY","properties":{"formattedCitation":"(Gedde, Feuer, Lim, Barton, Goyal, Ahmed, Brandt, &amp; Primary Tube Versus Trabeculectomy Study Group, 2022; Molteno, 2011)","plainCitation":"(Gedde, Feuer, Lim, Barton, Goyal, Ahmed, Brandt, &amp; Primary Tube Versus Trabeculectomy Study Group, 2022; Molteno, 2011)","noteIndex":0},"citationItems":[{"id":676,"uris":["http://zotero.org/users/15573016/items/ISX77UMR"],"itemData":{"id":676,"type":"article-journal","abstract":"PURPOSE: To describe postoperative complications encountered in the Primary Tube Versus Trabeculectomy (PTVT) Study during 5 years of follow-up.\nDESIGN: Multicenter randomized clinical trial.\nPARTICIPANTS: A total of 242 eyes of 242 patients with medically uncontrolled glaucoma and no previous incisional ocular surgery, including 125 patients in the tube group and 117 patients in the trabeculectomy group.\nMETHODS: Patients were enrolled at 16 clinical centers and randomly assigned to treatment with a tube shunt (350-mm2 Baerveldt glaucoma implant) or trabeculectomy with mitomycin C (MMC, 0.4 mg/ml for 2 minutes).\nMAIN OUTCOME MEASURES: Surgical complications, reoperations for complications, visual acuity, and cataract progression.\nRESULTS: Early postoperative complications occurred in 24 patients (19%) in the tube group and 40 patients (34%) in the trabeculectomy group (P = 0.013). Late postoperative complications developed in 27 patients (22%) in the tube group and 32 patients (27%) in the trabeculectomy group (P = 0.37). Serious complications producing vision loss and/or requiring a reoperation were observed in 3 patients (2%) in the tube group and 9 patients (8%) in the trabeculectomy group (P = 0.11). Cataract progression was seen in 65 patients (52%) in the tube group and 52 patients (44%) in the trabeculectomy group (P = 0.30). Surgical complications were not associated with a higher rate of treatment failure (P = 0.61), vision loss (P = 1.00), or cataract progression (P = 0.77) CONCLUSIONS: A large number of surgical complications were observed in the PTVT Study, but most were transient and self-limited. The incidence of early postoperative complications was higher following trabeculectomy with MMC than with tube shunt surgery. The rates of late postoperative complications, serious complications, and cataract progression were similar with both surgical procedures after 5 years of follow-up. Surgical complications did not increase the risk of treatment failure, vision loss, or cataract progression.","container-title":"Ophthalmology","DOI":"10.1016/j.ophtha.2022.07.004","ISSN":"1549-4713","issue":"12","journalAbbreviation":"Ophthalmology","language":"eng","note":"PMID: 35835336\nPMCID: PMC9691562","page":"1357-1367","source":"PubMed","title":"Postoperative Complications in the Primary Tube Versus Trabeculectomy Study During 5 Years of Follow-up","volume":"129","author":[{"family":"Gedde","given":"Steven J."},{"family":"Feuer","given":"William J."},{"family":"Lim","given":"Kin Sheng"},{"family":"Barton","given":"Keith"},{"family":"Goyal","given":"Saurabh"},{"family":"Ahmed","given":"Iqbal I."},{"family":"Brandt","given":"James D."},{"literal":"Primary Tube Versus Trabeculectomy Study Group"}],"issued":{"date-parts":[["2022",12]]},"citation-key":"gedde2022"}},{"id":2000,"uris":["http://zotero.org/users/15573016/items/MSVNC3FW"],"itemData":{"id":2000,"type":"article-journal","container-title":"Archives of Ophthalmology","DOI":"10.1001/archophthalmol.2011.221","ISSN":"0003-9950","issue":"11","journalAbbreviation":"Arch Ophthalmol","language":"en","page":"1444","source":"DOI.org (Crossref)","title":"Long-term Results of Primary Trabeculectomies and Molteno Implants for Primary Open-Angle Glaucoma","URL":"http://archopht.jamanetwork.com/article.aspx?doi=10.1001/archophthalmol.2011.221","volume":"129","author":[{"family":"Molteno","given":"Anthony C. B."}],"accessed":{"date-parts":[["2025",7,7]]},"issued":{"date-parts":[["2011",11,1]]},"citation-key":"molteno2011"}}],"schema":"https://github.com/citation-style-language/schema/raw/master/csl-citation.json"} </w:instrText>
      </w:r>
      <w:r w:rsidR="00AF0041">
        <w:fldChar w:fldCharType="separate"/>
      </w:r>
      <w:r w:rsidR="00AF0041">
        <w:rPr>
          <w:noProof/>
        </w:rPr>
        <w:t>(Gedde, Feuer, Lim, Barton, Goyal, Ahmed, Brandt, &amp; Primary Tube Versus Trabeculectomy Study Group, 2022; Molteno, 2011)</w:t>
      </w:r>
      <w:r w:rsidR="00AF0041">
        <w:fldChar w:fldCharType="end"/>
      </w:r>
      <w:r w:rsidR="00AF0041">
        <w:t>.</w:t>
      </w:r>
      <w:r w:rsidR="001861FE">
        <w:t xml:space="preserve"> </w:t>
      </w:r>
      <w:r w:rsidR="00AF0041">
        <w:t>E</w:t>
      </w:r>
      <w:r w:rsidR="001861FE">
        <w:t>arly complications are typically reversible</w:t>
      </w:r>
      <w:r w:rsidR="00AF0041">
        <w:t xml:space="preserve"> and non-sight-threatening</w:t>
      </w:r>
      <w:r w:rsidR="001861FE">
        <w:t xml:space="preserve"> with</w:t>
      </w:r>
      <w:r w:rsidR="00AF0041">
        <w:t xml:space="preserve"> adequate</w:t>
      </w:r>
      <w:r w:rsidR="001861FE">
        <w:t xml:space="preserve"> pressure control (atropine, viscoelastic, compression sutures, or tube ligation), leak closure, and infection prophylaxis</w:t>
      </w:r>
      <w:r w:rsidR="003A1B65">
        <w:t xml:space="preserve"> </w:t>
      </w:r>
      <w:r w:rsidR="003A1B65">
        <w:fldChar w:fldCharType="begin"/>
      </w:r>
      <w:r w:rsidR="003A1B65">
        <w:instrText xml:space="preserve"> ADDIN ZOTERO_ITEM CSL_CITATION {"citationID":"JGa8XGxs","properties":{"formattedCitation":"(Gedde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rsidR="003A1B65">
        <w:fldChar w:fldCharType="separate"/>
      </w:r>
      <w:r w:rsidR="003A1B65">
        <w:rPr>
          <w:noProof/>
        </w:rPr>
        <w:t>(Gedde et al., 2021b)</w:t>
      </w:r>
      <w:r w:rsidR="003A1B65">
        <w:fldChar w:fldCharType="end"/>
      </w:r>
      <w:r w:rsidR="001861FE">
        <w:t>.</w:t>
      </w:r>
    </w:p>
    <w:p w14:paraId="4A83741E" w14:textId="77777777" w:rsidR="0024401C" w:rsidRDefault="0024401C" w:rsidP="0024401C">
      <w:pPr>
        <w:spacing w:line="360" w:lineRule="auto"/>
        <w:jc w:val="both"/>
      </w:pPr>
    </w:p>
    <w:p w14:paraId="095AFDD1" w14:textId="7522938D" w:rsidR="00B87695" w:rsidRDefault="001861FE" w:rsidP="0024401C">
      <w:pPr>
        <w:spacing w:line="360" w:lineRule="auto"/>
        <w:jc w:val="both"/>
      </w:pPr>
      <w:r>
        <w:lastRenderedPageBreak/>
        <w:t>Late complications (&gt;90 days) </w:t>
      </w:r>
      <w:r w:rsidR="00AF0041">
        <w:t>are associated with tissue remodelling and device-tissue interactions. The most common reported postoperative event after penetrative surgeries is c</w:t>
      </w:r>
      <w:r>
        <w:t>ataract progression</w:t>
      </w:r>
      <w:r w:rsidR="00AF0041">
        <w:t xml:space="preserve">. </w:t>
      </w:r>
      <w:r>
        <w:t> </w:t>
      </w:r>
      <w:r w:rsidR="00AF0041">
        <w:t xml:space="preserve">It has been reported in </w:t>
      </w:r>
      <w:r>
        <w:t>24–44%</w:t>
      </w:r>
      <w:r w:rsidR="00AF0041">
        <w:t xml:space="preserve"> of cases</w:t>
      </w:r>
      <w:r>
        <w:t xml:space="preserve"> after trabeculectomy</w:t>
      </w:r>
      <w:r w:rsidR="00771FC4">
        <w:t>, 22%</w:t>
      </w:r>
      <w:r w:rsidR="00AF0041">
        <w:t xml:space="preserve"> of cases</w:t>
      </w:r>
      <w:r w:rsidR="00771FC4">
        <w:t xml:space="preserve"> after Molteno </w:t>
      </w:r>
      <w:r>
        <w:t>and up to 52%</w:t>
      </w:r>
      <w:r w:rsidR="00AF0041">
        <w:t xml:space="preserve"> of cases</w:t>
      </w:r>
      <w:r>
        <w:t xml:space="preserve"> after Baerveldt</w:t>
      </w:r>
      <w:r w:rsidR="00AF0041">
        <w:t xml:space="preserve"> implantation</w:t>
      </w:r>
      <w:r w:rsidR="00771FC4">
        <w:t xml:space="preserve">. Postoperative cataract is assumed to be </w:t>
      </w:r>
      <w:r w:rsidR="00AF0041">
        <w:t>caused</w:t>
      </w:r>
      <w:r>
        <w:t xml:space="preserve"> by postoperative inflammation</w:t>
      </w:r>
      <w:r w:rsidR="00B87695">
        <w:t>, o</w:t>
      </w:r>
      <w:r w:rsidR="00AF0041">
        <w:t>ften conjoined with</w:t>
      </w:r>
      <w:r>
        <w:t xml:space="preserve"> sustained corticosteroid exposure</w:t>
      </w:r>
      <w:r w:rsidR="00AF0041">
        <w:t>. Additionally, persistent hypotony induce</w:t>
      </w:r>
      <w:r w:rsidR="00B87695">
        <w:t>s</w:t>
      </w:r>
      <w:r w:rsidR="00AF0041">
        <w:t xml:space="preserve"> metabolic stress on the lens, fostering cataract progression</w:t>
      </w:r>
      <w:r w:rsidR="00771FC4">
        <w:t xml:space="preserve"> </w:t>
      </w:r>
      <w:r w:rsidR="00771FC4">
        <w:fldChar w:fldCharType="begin"/>
      </w:r>
      <w:r w:rsidR="00771FC4">
        <w:instrText xml:space="preserve"> ADDIN ZOTERO_ITEM CSL_CITATION {"citationID":"tENhaLNl","properties":{"formattedCitation":"(Gedde, Feuer, Lim, Barton, Goyal, Ahmed, Brandt, &amp; Primary Tube Versus Trabeculectomy Study Group, 2022; Molteno, 2011)","plainCitation":"(Gedde, Feuer, Lim, Barton, Goyal, Ahmed, Brandt, &amp; Primary Tube Versus Trabeculectomy Study Group, 2022; Molteno, 2011)","noteIndex":0},"citationItems":[{"id":676,"uris":["http://zotero.org/users/15573016/items/ISX77UMR"],"itemData":{"id":676,"type":"article-journal","abstract":"PURPOSE: To describe postoperative complications encountered in the Primary Tube Versus Trabeculectomy (PTVT) Study during 5 years of follow-up.\nDESIGN: Multicenter randomized clinical trial.\nPARTICIPANTS: A total of 242 eyes of 242 patients with medically uncontrolled glaucoma and no previous incisional ocular surgery, including 125 patients in the tube group and 117 patients in the trabeculectomy group.\nMETHODS: Patients were enrolled at 16 clinical centers and randomly assigned to treatment with a tube shunt (350-mm2 Baerveldt glaucoma implant) or trabeculectomy with mitomycin C (MMC, 0.4 mg/ml for 2 minutes).\nMAIN OUTCOME MEASURES: Surgical complications, reoperations for complications, visual acuity, and cataract progression.\nRESULTS: Early postoperative complications occurred in 24 patients (19%) in the tube group and 40 patients (34%) in the trabeculectomy group (P = 0.013). Late postoperative complications developed in 27 patients (22%) in the tube group and 32 patients (27%) in the trabeculectomy group (P = 0.37). Serious complications producing vision loss and/or requiring a reoperation were observed in 3 patients (2%) in the tube group and 9 patients (8%) in the trabeculectomy group (P = 0.11). Cataract progression was seen in 65 patients (52%) in the tube group and 52 patients (44%) in the trabeculectomy group (P = 0.30). Surgical complications were not associated with a higher rate of treatment failure (P = 0.61), vision loss (P = 1.00), or cataract progression (P = 0.77) CONCLUSIONS: A large number of surgical complications were observed in the PTVT Study, but most were transient and self-limited. The incidence of early postoperative complications was higher following trabeculectomy with MMC than with tube shunt surgery. The rates of late postoperative complications, serious complications, and cataract progression were similar with both surgical procedures after 5 years of follow-up. Surgical complications did not increase the risk of treatment failure, vision loss, or cataract progression.","container-title":"Ophthalmology","DOI":"10.1016/j.ophtha.2022.07.004","ISSN":"1549-4713","issue":"12","journalAbbreviation":"Ophthalmology","language":"eng","note":"PMID: 35835336\nPMCID: PMC9691562","page":"1357-1367","source":"PubMed","title":"Postoperative Complications in the Primary Tube Versus Trabeculectomy Study During 5 Years of Follow-up","volume":"129","author":[{"family":"Gedde","given":"Steven J."},{"family":"Feuer","given":"William J."},{"family":"Lim","given":"Kin Sheng"},{"family":"Barton","given":"Keith"},{"family":"Goyal","given":"Saurabh"},{"family":"Ahmed","given":"Iqbal I."},{"family":"Brandt","given":"James D."},{"literal":"Primary Tube Versus Trabeculectomy Study Group"}],"issued":{"date-parts":[["2022",12]]},"citation-key":"gedde2022"}},{"id":2000,"uris":["http://zotero.org/users/15573016/items/MSVNC3FW"],"itemData":{"id":2000,"type":"article-journal","container-title":"Archives of Ophthalmology","DOI":"10.1001/archophthalmol.2011.221","ISSN":"0003-9950","issue":"11","journalAbbreviation":"Arch Ophthalmol","language":"en","page":"1444","source":"DOI.org (Crossref)","title":"Long-term Results of Primary Trabeculectomies and Molteno Implants for Primary Open-Angle Glaucoma","URL":"http://archopht.jamanetwork.com/article.aspx?doi=10.1001/archophthalmol.2011.221","volume":"129","author":[{"family":"Molteno","given":"Anthony C. B."}],"accessed":{"date-parts":[["2025",7,7]]},"issued":{"date-parts":[["2011",11,1]]},"citation-key":"molteno2011"}}],"schema":"https://github.com/citation-style-language/schema/raw/master/csl-citation.json"} </w:instrText>
      </w:r>
      <w:r w:rsidR="00771FC4">
        <w:fldChar w:fldCharType="separate"/>
      </w:r>
      <w:r w:rsidR="00771FC4">
        <w:rPr>
          <w:noProof/>
        </w:rPr>
        <w:t>(Gedde, Feuer, Lim, Barton, Goyal, Ahmed, Brandt, &amp; Primary Tube Versus Trabeculectomy Study Group, 2022; Molteno, 2011)</w:t>
      </w:r>
      <w:r w:rsidR="00771FC4">
        <w:fldChar w:fldCharType="end"/>
      </w:r>
      <w:r>
        <w:t>.</w:t>
      </w:r>
      <w:r w:rsidR="00AF0041">
        <w:t xml:space="preserve"> </w:t>
      </w:r>
    </w:p>
    <w:p w14:paraId="73354978" w14:textId="5D04C0B0" w:rsidR="00512AE7" w:rsidRDefault="00AF0041" w:rsidP="003A0B82">
      <w:pPr>
        <w:spacing w:line="360" w:lineRule="auto"/>
        <w:ind w:firstLine="425"/>
        <w:jc w:val="both"/>
      </w:pPr>
      <w:r>
        <w:t>Another later postoperative complication is c</w:t>
      </w:r>
      <w:r w:rsidR="001861FE">
        <w:t xml:space="preserve">orneal edema/decompensation (≈20% with </w:t>
      </w:r>
      <w:r w:rsidR="00B87695">
        <w:t>GDD</w:t>
      </w:r>
      <w:r w:rsidR="001861FE">
        <w:t>)</w:t>
      </w:r>
      <w:r>
        <w:t>. This complication</w:t>
      </w:r>
      <w:r w:rsidR="001861FE">
        <w:t xml:space="preserve"> </w:t>
      </w:r>
      <w:r>
        <w:t>has been linked to</w:t>
      </w:r>
      <w:r w:rsidR="001861FE">
        <w:t xml:space="preserve"> endothelial cell loss </w:t>
      </w:r>
      <w:r>
        <w:t>caused by</w:t>
      </w:r>
      <w:r w:rsidR="001861FE">
        <w:t xml:space="preserve"> tube–cornea proximity</w:t>
      </w:r>
      <w:r>
        <w:t xml:space="preserve"> </w:t>
      </w:r>
      <w:r w:rsidR="00940AA3">
        <w:fldChar w:fldCharType="begin"/>
      </w:r>
      <w:r w:rsidR="00940AA3">
        <w:instrText xml:space="preserve"> ADDIN ZOTERO_ITEM CSL_CITATION {"citationID":"ugKlbkmk","properties":{"formattedCitation":"(Budenz et al., 2016)","plainCitation":"(Budenz et al., 2016)","noteIndex":0},"citationItems":[{"id":1474,"uris":["http://zotero.org/users/15573016/items/46FX36SP"],"itemData":{"id":1474,"type":"article-journal","abstract":"PURPOSE: To compare the late complications in the Ahmed Baerveldt Comparison Study during 5 years of follow-up.\nDESIGN: Multicenter, prospective randomized clinical trial.\nMETHODS: setting: Sixteen international clinical centers.\nSTUDY POPULATION: Two hundred seventy-six subjects aged 18-85 years with previous intraocular surgery or refractory glaucoma with intraocular pressure of &gt;18 mm Hg.\nINTERVENTIONS: Ahmed Glaucoma Valve FP7 or Baerveldt Glaucoma Implant BG 101-350.\nMAIN OUTCOME MEASURES: Late postoperative complications (beyond 3 months), reoperations for complications, and decreased vision from complications.\nRESULTS: Late complications developed in 56 subjects (46.8 ± 4.8 5-year cumulative % ± SE) in the Ahmed Glaucoma Valve group and 67 (56.3 ± 4.7 5-year cumulative % ± SE) in the Baerveldt Glaucoma Implant group (P = .082). The cumulative rates of serious complications were 15.9% and 24.7% in the Ahmed Glaucoma Valve and Baerveldt Glaucoma Implant groups, respectively (P = .034), although this was largely driven by subjects who had tube occlusions in the 2 groups (0.8% in the Ahmed Glaucoma Valve group and 5.7% in the Baerveldt Glaucoma Implant group, P = .037). Both groups had a relatively high incidence of persistent diplopia (12%) and corneal edema (20%), although half of the corneal edema cases were likely due to pre-existing causes other than the aqueous shunt. The incidence of tube erosion was 1% and 3% in the Ahmed Glaucoma Valve and Baerveldt Glaucoma Implant groups, respectively (P = .04).\nCONCLUSIONS: Long-term rates of vision-threatening complications and complications resulting in reoperation were higher in the Baerveldt Glaucoma Implant than in the Ahmed Glaucoma Valve group over 5 years of follow-up.","container-title":"American Journal of Ophthalmology","DOI":"10.1016/j.ajo.2015.11.023","ISSN":"1879-1891","journalAbbreviation":"Am J Ophthalmol","language":"eng","note":"PMID: 26596400\nPMCID: PMC4901387","page":"75-82.e3","source":"PubMed","title":"Postoperative Complications in the Ahmed Baerveldt Comparison Study During Five Years of Follow-up","volume":"163","author":[{"family":"Budenz","given":"Donald L."},{"family":"Feuer","given":"William J."},{"family":"Barton","given":"Keith"},{"family":"Schiffman","given":"Joyce"},{"family":"Costa","given":"Vital P."},{"family":"Godfrey","given":"David G."},{"family":"Buys","given":"Yvonne M."},{"literal":"Ahmed Baerveldt Comparison Study Group"}],"issued":{"date-parts":[["2016",3]]},"citation-key":"budenz2016"}}],"schema":"https://github.com/citation-style-language/schema/raw/master/csl-citation.json"} </w:instrText>
      </w:r>
      <w:r w:rsidR="00940AA3">
        <w:fldChar w:fldCharType="separate"/>
      </w:r>
      <w:r w:rsidR="00940AA3">
        <w:rPr>
          <w:noProof/>
        </w:rPr>
        <w:t>(Budenz et al., 2016)</w:t>
      </w:r>
      <w:r w:rsidR="00940AA3">
        <w:fldChar w:fldCharType="end"/>
      </w:r>
      <w:r w:rsidR="001861FE">
        <w:t xml:space="preserve">. </w:t>
      </w:r>
      <w:r>
        <w:t xml:space="preserve">An interesting complication is diplopia, which has been reported in approximately 12% of tube surgeries. Diplopia </w:t>
      </w:r>
      <w:r w:rsidR="00774D3A">
        <w:t>can</w:t>
      </w:r>
      <w:r>
        <w:t xml:space="preserve"> </w:t>
      </w:r>
      <w:r w:rsidR="00B87695">
        <w:t>be linked to</w:t>
      </w:r>
      <w:r>
        <w:t xml:space="preserve"> </w:t>
      </w:r>
      <w:r w:rsidR="00B87695">
        <w:t>the</w:t>
      </w:r>
      <w:r w:rsidR="00774D3A">
        <w:t xml:space="preserve"> </w:t>
      </w:r>
      <w:r w:rsidR="00B87695">
        <w:t xml:space="preserve">mechanical and fibrotic </w:t>
      </w:r>
      <w:r w:rsidR="00774D3A">
        <w:t>interaction between</w:t>
      </w:r>
      <w:r>
        <w:t xml:space="preserve"> </w:t>
      </w:r>
      <w:r w:rsidR="00B87695">
        <w:t>extraocular muscles and tube plates</w:t>
      </w:r>
      <w:r w:rsidR="00D63622">
        <w:t>, where the</w:t>
      </w:r>
      <w:r w:rsidR="00774D3A">
        <w:t xml:space="preserve"> </w:t>
      </w:r>
      <w:r w:rsidR="00D63622">
        <w:t>p</w:t>
      </w:r>
      <w:r w:rsidR="00774D3A">
        <w:t>lates adhere to adjacent extraocular muscles and limit their mobility</w:t>
      </w:r>
      <w:r w:rsidR="00383DB9">
        <w:t xml:space="preserve"> </w:t>
      </w:r>
      <w:r w:rsidR="00940AA3">
        <w:fldChar w:fldCharType="begin"/>
      </w:r>
      <w:r w:rsidR="00940AA3">
        <w:instrText xml:space="preserve"> ADDIN ZOTERO_ITEM CSL_CITATION {"citationID":"awzA7B7j","properties":{"formattedCitation":"(Budenz et al., 2016; Gedde, Feuer, Lim, Barton, Goyal, Ahmed, Brandt, &amp; Primary Tube Versus Trabeculectomy Study Group, 2022)","plainCitation":"(Budenz et al., 2016; Gedde, Feuer, Lim, Barton, Goyal, Ahmed, Brandt, &amp; Primary Tube Versus Trabeculectomy Study Group, 2022)","noteIndex":0},"citationItems":[{"id":1474,"uris":["http://zotero.org/users/15573016/items/46FX36SP"],"itemData":{"id":1474,"type":"article-journal","abstract":"PURPOSE: To compare the late complications in the Ahmed Baerveldt Comparison Study during 5 years of follow-up.\nDESIGN: Multicenter, prospective randomized clinical trial.\nMETHODS: setting: Sixteen international clinical centers.\nSTUDY POPULATION: Two hundred seventy-six subjects aged 18-85 years with previous intraocular surgery or refractory glaucoma with intraocular pressure of &gt;18 mm Hg.\nINTERVENTIONS: Ahmed Glaucoma Valve FP7 or Baerveldt Glaucoma Implant BG 101-350.\nMAIN OUTCOME MEASURES: Late postoperative complications (beyond 3 months), reoperations for complications, and decreased vision from complications.\nRESULTS: Late complications developed in 56 subjects (46.8 ± 4.8 5-year cumulative % ± SE) in the Ahmed Glaucoma Valve group and 67 (56.3 ± 4.7 5-year cumulative % ± SE) in the Baerveldt Glaucoma Implant group (P = .082). The cumulative rates of serious complications were 15.9% and 24.7% in the Ahmed Glaucoma Valve and Baerveldt Glaucoma Implant groups, respectively (P = .034), although this was largely driven by subjects who had tube occlusions in the 2 groups (0.8% in the Ahmed Glaucoma Valve group and 5.7% in the Baerveldt Glaucoma Implant group, P = .037). Both groups had a relatively high incidence of persistent diplopia (12%) and corneal edema (20%), although half of the corneal edema cases were likely due to pre-existing causes other than the aqueous shunt. The incidence of tube erosion was 1% and 3% in the Ahmed Glaucoma Valve and Baerveldt Glaucoma Implant groups, respectively (P = .04).\nCONCLUSIONS: Long-term rates of vision-threatening complications and complications resulting in reoperation were higher in the Baerveldt Glaucoma Implant than in the Ahmed Glaucoma Valve group over 5 years of follow-up.","container-title":"American Journal of Ophthalmology","DOI":"10.1016/j.ajo.2015.11.023","ISSN":"1879-1891","journalAbbreviation":"Am J Ophthalmol","language":"eng","note":"PMID: 26596400\nPMCID: PMC4901387","page":"75-82.e3","source":"PubMed","title":"Postoperative Complications in the Ahmed Baerveldt Comparison Study During Five Years of Follow-up","volume":"163","author":[{"family":"Budenz","given":"Donald L."},{"family":"Feuer","given":"William J."},{"family":"Barton","given":"Keith"},{"family":"Schiffman","given":"Joyce"},{"family":"Costa","given":"Vital P."},{"family":"Godfrey","given":"David G."},{"family":"Buys","given":"Yvonne M."},{"literal":"Ahmed Baerveldt Comparison Study Group"}],"issued":{"date-parts":[["2016",3]]},"citation-key":"budenz2016"}},{"id":676,"uris":["http://zotero.org/users/15573016/items/ISX77UMR"],"itemData":{"id":676,"type":"article-journal","abstract":"PURPOSE: To describe postoperative complications encountered in the Primary Tube Versus Trabeculectomy (PTVT) Study during 5 years of follow-up.\nDESIGN: Multicenter randomized clinical trial.\nPARTICIPANTS: A total of 242 eyes of 242 patients with medically uncontrolled glaucoma and no previous incisional ocular surgery, including 125 patients in the tube group and 117 patients in the trabeculectomy group.\nMETHODS: Patients were enrolled at 16 clinical centers and randomly assigned to treatment with a tube shunt (350-mm2 Baerveldt glaucoma implant) or trabeculectomy with mitomycin C (MMC, 0.4 mg/ml for 2 minutes).\nMAIN OUTCOME MEASURES: Surgical complications, reoperations for complications, visual acuity, and cataract progression.\nRESULTS: Early postoperative complications occurred in 24 patients (19%) in the tube group and 40 patients (34%) in the trabeculectomy group (P = 0.013). Late postoperative complications developed in 27 patients (22%) in the tube group and 32 patients (27%) in the trabeculectomy group (P = 0.37). Serious complications producing vision loss and/or requiring a reoperation were observed in 3 patients (2%) in the tube group and 9 patients (8%) in the trabeculectomy group (P = 0.11). Cataract progression was seen in 65 patients (52%) in the tube group and 52 patients (44%) in the trabeculectomy group (P = 0.30). Surgical complications were not associated with a higher rate of treatment failure (P = 0.61), vision loss (P = 1.00), or cataract progression (P = 0.77) CONCLUSIONS: A large number of surgical complications were observed in the PTVT Study, but most were transient and self-limited. The incidence of early postoperative complications was higher following trabeculectomy with MMC than with tube shunt surgery. The rates of late postoperative complications, serious complications, and cataract progression were similar with both surgical procedures after 5 years of follow-up. Surgical complications did not increase the risk of treatment failure, vision loss, or cataract progression.","container-title":"Ophthalmology","DOI":"10.1016/j.ophtha.2022.07.004","ISSN":"1549-4713","issue":"12","journalAbbreviation":"Ophthalmology","language":"eng","note":"PMID: 35835336\nPMCID: PMC9691562","page":"1357-1367","source":"PubMed","title":"Postoperative Complications in the Primary Tube Versus Trabeculectomy Study During 5 Years of Follow-up","volume":"129","author":[{"family":"Gedde","given":"Steven J."},{"family":"Feuer","given":"William J."},{"family":"Lim","given":"Kin Sheng"},{"family":"Barton","given":"Keith"},{"family":"Goyal","given":"Saurabh"},{"family":"Ahmed","given":"Iqbal I."},{"family":"Brandt","given":"James D."},{"literal":"Primary Tube Versus Trabeculectomy Study Group"}],"issued":{"date-parts":[["2022",12]]},"citation-key":"gedde2022"}}],"schema":"https://github.com/citation-style-language/schema/raw/master/csl-citation.json"} </w:instrText>
      </w:r>
      <w:r w:rsidR="00940AA3">
        <w:fldChar w:fldCharType="separate"/>
      </w:r>
      <w:r w:rsidR="00940AA3">
        <w:rPr>
          <w:noProof/>
        </w:rPr>
        <w:t>(Budenz et al., 2016; Gedde, Feuer, Lim, Barton, Goyal, Ahmed, Brandt, &amp; Primary Tube Versus Trabeculectomy Study Group, 2022)</w:t>
      </w:r>
      <w:r w:rsidR="00940AA3">
        <w:fldChar w:fldCharType="end"/>
      </w:r>
      <w:r w:rsidR="001861FE">
        <w:t>. </w:t>
      </w:r>
      <w:r w:rsidR="009D14AF">
        <w:t xml:space="preserve">Long-term friction </w:t>
      </w:r>
      <w:r w:rsidR="00512AE7">
        <w:t>between</w:t>
      </w:r>
      <w:r w:rsidR="009D14AF">
        <w:t xml:space="preserve"> the tube/plates </w:t>
      </w:r>
      <w:r w:rsidR="00512AE7">
        <w:t>and the conjunctiva</w:t>
      </w:r>
      <w:r w:rsidR="00D63622">
        <w:t xml:space="preserve"> can cause</w:t>
      </w:r>
      <w:r w:rsidR="009D14AF">
        <w:t xml:space="preserve"> conjunctival thinning </w:t>
      </w:r>
      <w:r w:rsidR="00512AE7">
        <w:t>and eventually result in</w:t>
      </w:r>
      <w:r w:rsidR="009D14AF">
        <w:t xml:space="preserve"> tube exposure/erosion (≈1–3%) </w:t>
      </w:r>
      <w:r w:rsidR="009D14AF">
        <w:fldChar w:fldCharType="begin"/>
      </w:r>
      <w:r w:rsidR="009D14AF">
        <w:instrText xml:space="preserve"> ADDIN ZOTERO_ITEM CSL_CITATION {"citationID":"mYXdY6p4","properties":{"formattedCitation":"(Budenz et al., 2011)","plainCitation":"(Budenz et al., 2011)","noteIndex":0},"citationItems":[{"id":1471,"uris":["http://zotero.org/users/15573016/items/YU9LGLXA"],"itemData":{"id":1471,"type":"article-journal","abstract":"PURPOSE: To determine the relative efficacy and complications of the Ahmed glaucoma valve (AGV) model FP7 (New World Medical, Ranchos Cucamonga, CA) and the Baerveldt glaucoma implant (BGI) model 101-350 (Abbott Medical Optics, Abbott Park, IL) in refractory glaucoma.\nDESIGN: Multicenter, randomized, controlled clinical trial.\nPARTICIPANTS: Two hundred seventy-six patients, including 143 in the AGV group and 133 in the BGI group.\nMETHODS: Patients 18 to 85 years of age with refractory glaucoma having intraocular pressure (IOP) of 18 mmHg or more in whom an aqueous shunt was planned were randomized to undergo implantation of either an AGV or a BGI.\nMAIN OUTCOME MEASURES: The primary outcome was failure, defined as IOP &gt;21 mmHg or not reduced by 20% from baseline, IOP ≤5 mmHg, reoperation for glaucoma or removal of implant, or loss of light perception vision. Secondary outcomes included mean IOP, visual acuity, use of supplemental medical therapy, and complications.\nRESULTS: Preoperative IOP (mean±standard deviation [SD]) was 31.2±11.2 mmHg in the AGV group and 31.8±12.5 mmHg in the BGI group (P = 0.71). At 1 year, mean±SD IOP was 15.4±5.5 mmHg in the AGV group and 13.2±6.8 mmHg in the BGI group (P = 0.007). The mean±SD number of glaucoma medications was 1.8±1.3 in the AGV group and 1.5±1.4 in the BGI group (P = 0.071). The cumulative probability of failure was 16.4% (standard error [SE], 3.1%) in the AGV group and 14.0% (SE, 3.1%) in the BGI group at 1 year (P = 0.52). More patients experienced early postoperative complications in the BGI group (n = 77; 58%) compared with the AGV group (n = 61; 43%; P = 0.016). Serious postoperative complications associated with reoperation, vision loss of ≥2 Snellen lines, or both occurred in 29 patients (20%) in the AGV group and in 45 patients (34%) in the BGI group (P = 0.014).\nCONCLUSIONS: Although the average IOP after 1 year was slightly higher in patients who received an AGV, there were fewer early and serious postoperative complications associated with the use of the AGV than the BGI.","container-title":"Ophthalmology","DOI":"10.1016/j.ophtha.2010.07.016","ISSN":"1549-4713","issue":"3","journalAbbreviation":"Ophthalmology","language":"eng","note":"PMID: 20932583\nPMCID: PMC3020266","page":"443-452","source":"PubMed","title":"Treatment outcomes in the Ahmed Baerveldt Comparison Study after 1 year of follow-up","volume":"118","author":[{"family":"Budenz","given":"Donald L."},{"family":"Barton","given":"Keith"},{"family":"Feuer","given":"William J."},{"family":"Schiffman","given":"Joyce"},{"family":"Costa","given":"Vital P."},{"family":"Godfrey","given":"David G."},{"family":"Buys","given":"Yvonne M."},{"literal":"Ahmed Baerveldt Comparison Study Group"}],"issued":{"date-parts":[["2011",3]]},"citation-key":"budenz2011"}}],"schema":"https://github.com/citation-style-language/schema/raw/master/csl-citation.json"} </w:instrText>
      </w:r>
      <w:r w:rsidR="009D14AF">
        <w:fldChar w:fldCharType="separate"/>
      </w:r>
      <w:r w:rsidR="009D14AF">
        <w:rPr>
          <w:noProof/>
        </w:rPr>
        <w:t>(Budenz et al., 2011)</w:t>
      </w:r>
      <w:r w:rsidR="009D14AF">
        <w:fldChar w:fldCharType="end"/>
      </w:r>
      <w:r w:rsidR="009D14AF">
        <w:t xml:space="preserve">. </w:t>
      </w:r>
      <w:r w:rsidR="00D63622">
        <w:t>T</w:t>
      </w:r>
      <w:r w:rsidR="009D14AF">
        <w:t xml:space="preserve">ube exposure </w:t>
      </w:r>
      <w:r w:rsidR="00D63622">
        <w:t xml:space="preserve">can increase the </w:t>
      </w:r>
      <w:r w:rsidR="009D14AF">
        <w:t>risk of infections</w:t>
      </w:r>
      <w:r w:rsidR="00D63622">
        <w:t>,</w:t>
      </w:r>
      <w:r w:rsidR="009D14AF">
        <w:t xml:space="preserve"> such as endopht</w:t>
      </w:r>
      <w:r w:rsidR="00512AE7">
        <w:t xml:space="preserve">halmitis. </w:t>
      </w:r>
      <w:r w:rsidR="00D63622">
        <w:t xml:space="preserve">To avoid infection, prompt treatment </w:t>
      </w:r>
      <w:r w:rsidR="00512AE7">
        <w:t xml:space="preserve">of tube exposure/erosion </w:t>
      </w:r>
      <w:r w:rsidR="00D63622">
        <w:t>with</w:t>
      </w:r>
      <w:r w:rsidR="00512AE7">
        <w:t xml:space="preserve"> patch-graft revision</w:t>
      </w:r>
      <w:r w:rsidR="00D63622">
        <w:t xml:space="preserve"> is required</w:t>
      </w:r>
      <w:r w:rsidR="00512AE7">
        <w:t>. A</w:t>
      </w:r>
      <w:r w:rsidR="00D63622">
        <w:t>nother reported late</w:t>
      </w:r>
      <w:r w:rsidR="00512AE7">
        <w:t xml:space="preserve"> complication after trabeculectomy is bleb failure</w:t>
      </w:r>
      <w:r w:rsidR="00D63622">
        <w:t>,</w:t>
      </w:r>
      <w:r w:rsidR="00512AE7">
        <w:t xml:space="preserve"> requiring reoperation (≈8–9%). Bleb failure has been linked to fibrotic changes (fibroblast proliferation), causing narrowing of the filtration pathway. This complication can be reduced with the us</w:t>
      </w:r>
      <w:r w:rsidR="00B0370C">
        <w:t>e</w:t>
      </w:r>
      <w:r w:rsidR="00512AE7">
        <w:t xml:space="preserve"> of antimetabolites, but </w:t>
      </w:r>
      <w:r w:rsidR="00B0370C">
        <w:t>the</w:t>
      </w:r>
      <w:r w:rsidR="00512AE7">
        <w:t xml:space="preserve"> risk </w:t>
      </w:r>
      <w:r w:rsidR="00B0370C">
        <w:t>of</w:t>
      </w:r>
      <w:r w:rsidR="00512AE7">
        <w:t xml:space="preserve"> bleb failure</w:t>
      </w:r>
      <w:r w:rsidR="00B0370C">
        <w:t xml:space="preserve"> still </w:t>
      </w:r>
      <w:r w:rsidR="00512AE7">
        <w:t xml:space="preserve">remains </w:t>
      </w:r>
      <w:r w:rsidR="00512AE7">
        <w:fldChar w:fldCharType="begin"/>
      </w:r>
      <w:r w:rsidR="00512AE7">
        <w:instrText xml:space="preserve"> ADDIN ZOTERO_ITEM CSL_CITATION {"citationID":"QoLDuF6A","properties":{"formattedCitation":"(Gedde, Feuer, Lim, Barton, Goyal, Ahmed, Brandt, &amp; Primary Tube Versus Trabeculectomy Study Group, 2022; Molteno, 2011)","plainCitation":"(Gedde, Feuer, Lim, Barton, Goyal, Ahmed, Brandt, &amp; Primary Tube Versus Trabeculectomy Study Group, 2022; Molteno, 2011)","noteIndex":0},"citationItems":[{"id":676,"uris":["http://zotero.org/users/15573016/items/ISX77UMR"],"itemData":{"id":676,"type":"article-journal","abstract":"PURPOSE: To describe postoperative complications encountered in the Primary Tube Versus Trabeculectomy (PTVT) Study during 5 years of follow-up.\nDESIGN: Multicenter randomized clinical trial.\nPARTICIPANTS: A total of 242 eyes of 242 patients with medically uncontrolled glaucoma and no previous incisional ocular surgery, including 125 patients in the tube group and 117 patients in the trabeculectomy group.\nMETHODS: Patients were enrolled at 16 clinical centers and randomly assigned to treatment with a tube shunt (350-mm2 Baerveldt glaucoma implant) or trabeculectomy with mitomycin C (MMC, 0.4 mg/ml for 2 minutes).\nMAIN OUTCOME MEASURES: Surgical complications, reoperations for complications, visual acuity, and cataract progression.\nRESULTS: Early postoperative complications occurred in 24 patients (19%) in the tube group and 40 patients (34%) in the trabeculectomy group (P = 0.013). Late postoperative complications developed in 27 patients (22%) in the tube group and 32 patients (27%) in the trabeculectomy group (P = 0.37). Serious complications producing vision loss and/or requiring a reoperation were observed in 3 patients (2%) in the tube group and 9 patients (8%) in the trabeculectomy group (P = 0.11). Cataract progression was seen in 65 patients (52%) in the tube group and 52 patients (44%) in the trabeculectomy group (P = 0.30). Surgical complications were not associated with a higher rate of treatment failure (P = 0.61), vision loss (P = 1.00), or cataract progression (P = 0.77) CONCLUSIONS: A large number of surgical complications were observed in the PTVT Study, but most were transient and self-limited. The incidence of early postoperative complications was higher following trabeculectomy with MMC than with tube shunt surgery. The rates of late postoperative complications, serious complications, and cataract progression were similar with both surgical procedures after 5 years of follow-up. Surgical complications did not increase the risk of treatment failure, vision loss, or cataract progression.","container-title":"Ophthalmology","DOI":"10.1016/j.ophtha.2022.07.004","ISSN":"1549-4713","issue":"12","journalAbbreviation":"Ophthalmology","language":"eng","note":"PMID: 35835336\nPMCID: PMC9691562","page":"1357-1367","source":"PubMed","title":"Postoperative Complications in the Primary Tube Versus Trabeculectomy Study During 5 Years of Follow-up","volume":"129","author":[{"family":"Gedde","given":"Steven J."},{"family":"Feuer","given":"William J."},{"family":"Lim","given":"Kin Sheng"},{"family":"Barton","given":"Keith"},{"family":"Goyal","given":"Saurabh"},{"family":"Ahmed","given":"Iqbal I."},{"family":"Brandt","given":"James D."},{"literal":"Primary Tube Versus Trabeculectomy Study Group"}],"issued":{"date-parts":[["2022",12]]},"citation-key":"gedde2022"}},{"id":2000,"uris":["http://zotero.org/users/15573016/items/MSVNC3FW"],"itemData":{"id":2000,"type":"article-journal","container-title":"Archives of Ophthalmology","DOI":"10.1001/archophthalmol.2011.221","ISSN":"0003-9950","issue":"11","journalAbbreviation":"Arch Ophthalmol","language":"en","page":"1444","source":"DOI.org (Crossref)","title":"Long-term Results of Primary Trabeculectomies and Molteno Implants for Primary Open-Angle Glaucoma","URL":"http://archopht.jamanetwork.com/article.aspx?doi=10.1001/archophthalmol.2011.221","volume":"129","author":[{"family":"Molteno","given":"Anthony C. B."}],"accessed":{"date-parts":[["2025",7,7]]},"issued":{"date-parts":[["2011",11,1]]},"citation-key":"molteno2011"}}],"schema":"https://github.com/citation-style-language/schema/raw/master/csl-citation.json"} </w:instrText>
      </w:r>
      <w:r w:rsidR="00512AE7">
        <w:fldChar w:fldCharType="separate"/>
      </w:r>
      <w:r w:rsidR="00512AE7">
        <w:rPr>
          <w:noProof/>
        </w:rPr>
        <w:t>(Gedde, Feuer, Lim, Barton, Goyal, Ahmed, Brandt, &amp; Primary Tube Versus Trabeculectomy Study Group, 2022; Molteno, 2011)</w:t>
      </w:r>
      <w:r w:rsidR="00512AE7">
        <w:fldChar w:fldCharType="end"/>
      </w:r>
      <w:r w:rsidR="00512AE7">
        <w:t xml:space="preserve">. </w:t>
      </w:r>
      <w:r w:rsidR="00F86E77">
        <w:t>A rare</w:t>
      </w:r>
      <w:r w:rsidR="00512AE7">
        <w:t xml:space="preserve"> reported </w:t>
      </w:r>
      <w:r w:rsidR="00F86E77">
        <w:t xml:space="preserve">complication </w:t>
      </w:r>
      <w:r w:rsidR="00512AE7">
        <w:t>was</w:t>
      </w:r>
      <w:r w:rsidR="001861FE">
        <w:t> chronic hypotony</w:t>
      </w:r>
      <w:r w:rsidR="00512AE7">
        <w:t>,</w:t>
      </w:r>
      <w:r w:rsidR="00F86E77">
        <w:t xml:space="preserve"> where l</w:t>
      </w:r>
      <w:r w:rsidR="00512AE7">
        <w:t xml:space="preserve">ong-standing hypotony can lead to </w:t>
      </w:r>
      <w:r w:rsidR="001861FE">
        <w:t>phthisis bulbi</w:t>
      </w:r>
      <w:r w:rsidR="00512AE7">
        <w:t>, accompanied by irreversible vision loss.</w:t>
      </w:r>
      <w:r w:rsidR="00940AA3">
        <w:t xml:space="preserve"> </w:t>
      </w:r>
      <w:r w:rsidR="00940AA3">
        <w:fldChar w:fldCharType="begin"/>
      </w:r>
      <w:r w:rsidR="00940AA3">
        <w:instrText xml:space="preserve"> ADDIN ZOTERO_ITEM CSL_CITATION {"citationID":"8Qwh0Zkt","properties":{"formattedCitation":"(Molteno, 2011)","plainCitation":"(Molteno, 2011)","noteIndex":0},"citationItems":[{"id":2000,"uris":["http://zotero.org/users/15573016/items/MSVNC3FW"],"itemData":{"id":2000,"type":"article-journal","container-title":"Archives of Ophthalmology","DOI":"10.1001/archophthalmol.2011.221","ISSN":"0003-9950","issue":"11","journalAbbreviation":"Arch Ophthalmol","language":"en","page":"1444","source":"DOI.org (Crossref)","title":"Long-term Results of Primary Trabeculectomies and Molteno Implants for Primary Open-Angle Glaucoma","URL":"http://archopht.jamanetwork.com/article.aspx?doi=10.1001/archophthalmol.2011.221","volume":"129","author":[{"family":"Molteno","given":"Anthony C. B."}],"accessed":{"date-parts":[["2025",7,7]]},"issued":{"date-parts":[["2011",11,1]]},"citation-key":"molteno2011"}}],"schema":"https://github.com/citation-style-language/schema/raw/master/csl-citation.json"} </w:instrText>
      </w:r>
      <w:r w:rsidR="00940AA3">
        <w:fldChar w:fldCharType="separate"/>
      </w:r>
      <w:r w:rsidR="00940AA3">
        <w:rPr>
          <w:noProof/>
        </w:rPr>
        <w:t>(Molteno, 2011)</w:t>
      </w:r>
      <w:r w:rsidR="00940AA3">
        <w:fldChar w:fldCharType="end"/>
      </w:r>
      <w:r w:rsidR="001861FE">
        <w:t>.</w:t>
      </w:r>
      <w:r w:rsidR="00512AE7">
        <w:t xml:space="preserve"> </w:t>
      </w:r>
    </w:p>
    <w:p w14:paraId="59768DB0" w14:textId="77777777" w:rsidR="0024401C" w:rsidRDefault="0024401C" w:rsidP="0024401C">
      <w:pPr>
        <w:spacing w:line="360" w:lineRule="auto"/>
        <w:jc w:val="both"/>
      </w:pPr>
    </w:p>
    <w:p w14:paraId="23724D2D" w14:textId="34267A45" w:rsidR="006E004F" w:rsidRPr="0024401C" w:rsidRDefault="001861FE" w:rsidP="0024401C">
      <w:pPr>
        <w:spacing w:line="360" w:lineRule="auto"/>
        <w:jc w:val="both"/>
        <w:rPr>
          <w:lang w:val="en-GB"/>
        </w:rPr>
      </w:pPr>
      <w:r>
        <w:t>Among devices,</w:t>
      </w:r>
      <w:r w:rsidR="00C5004A">
        <w:t xml:space="preserve"> </w:t>
      </w:r>
      <w:r>
        <w:t>the Baerveldt implant </w:t>
      </w:r>
      <w:r w:rsidR="00D04677">
        <w:t>ha</w:t>
      </w:r>
      <w:r>
        <w:t xml:space="preserve">s the highest </w:t>
      </w:r>
      <w:r w:rsidR="00C5004A">
        <w:t>incidence</w:t>
      </w:r>
      <w:r>
        <w:t xml:space="preserve"> of both early hypotony and late endothelial stress</w:t>
      </w:r>
      <w:r w:rsidR="00D04677">
        <w:t xml:space="preserve">. This can be explained by </w:t>
      </w:r>
      <w:r>
        <w:t>its non-valved design and large plate surface</w:t>
      </w:r>
      <w:r w:rsidR="00D04677">
        <w:t>. On the contrary, the</w:t>
      </w:r>
      <w:r>
        <w:t> Ahmed valve</w:t>
      </w:r>
      <w:r w:rsidR="00D04677">
        <w:t xml:space="preserve"> demonstrates a </w:t>
      </w:r>
      <w:r w:rsidR="00F86E77">
        <w:t>lower</w:t>
      </w:r>
      <w:r w:rsidR="00D04677">
        <w:t xml:space="preserve"> rate of</w:t>
      </w:r>
      <w:r>
        <w:t xml:space="preserve"> early hypotony</w:t>
      </w:r>
      <w:r w:rsidR="00D04677">
        <w:t xml:space="preserve">. </w:t>
      </w:r>
      <w:r>
        <w:t>Trabeculectomy </w:t>
      </w:r>
      <w:r w:rsidR="00FB0E68">
        <w:t>presented</w:t>
      </w:r>
      <w:r w:rsidR="00D04677">
        <w:t xml:space="preserve"> with unique bleb-related complications such as</w:t>
      </w:r>
      <w:r>
        <w:t xml:space="preserve"> bleb leaks, </w:t>
      </w:r>
      <w:r w:rsidR="00D04677">
        <w:t>endophthalmitis</w:t>
      </w:r>
      <w:r>
        <w:t xml:space="preserve">, and </w:t>
      </w:r>
      <w:r w:rsidR="00D04677">
        <w:t xml:space="preserve">long-term </w:t>
      </w:r>
      <w:r>
        <w:t>fibrotic failure. Overall, penetrating procedures achieve</w:t>
      </w:r>
      <w:r w:rsidR="00D04677">
        <w:t xml:space="preserve"> good </w:t>
      </w:r>
      <w:r>
        <w:t xml:space="preserve">IOP </w:t>
      </w:r>
      <w:r w:rsidR="00F86E77">
        <w:t>reduction but also cause long-term structural alterations that may lead to complications</w:t>
      </w:r>
      <w:r w:rsidR="00FB0E68">
        <w:t xml:space="preserve"> and morbidity</w:t>
      </w:r>
      <w:r w:rsidR="00C5004A">
        <w:t xml:space="preserve"> </w:t>
      </w:r>
      <w:r w:rsidR="00C5004A">
        <w:fldChar w:fldCharType="begin"/>
      </w:r>
      <w:r w:rsidR="00C5004A">
        <w:instrText xml:space="preserve"> ADDIN ZOTERO_ITEM CSL_CITATION {"citationID":"nn2ojEkY","properties":{"formattedCitation":"(Gedde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rsidR="00C5004A">
        <w:fldChar w:fldCharType="separate"/>
      </w:r>
      <w:r w:rsidR="00C5004A">
        <w:rPr>
          <w:noProof/>
        </w:rPr>
        <w:t>(Gedde et al., 2021b)</w:t>
      </w:r>
      <w:r w:rsidR="00C5004A">
        <w:fldChar w:fldCharType="end"/>
      </w:r>
      <w:r>
        <w:t>.</w:t>
      </w:r>
    </w:p>
    <w:p w14:paraId="164801C6" w14:textId="7F152A3E" w:rsidR="00437DB0" w:rsidRDefault="00850DAD" w:rsidP="003A0B82">
      <w:pPr>
        <w:pStyle w:val="Heading2"/>
      </w:pPr>
      <w:bookmarkStart w:id="23" w:name="_Toc213182578"/>
      <w:r w:rsidRPr="00735D56">
        <w:lastRenderedPageBreak/>
        <w:t>Non-Penetrating Surgeries</w:t>
      </w:r>
      <w:bookmarkEnd w:id="23"/>
    </w:p>
    <w:p w14:paraId="13228D0B" w14:textId="77777777" w:rsidR="0024401C" w:rsidRDefault="00437DB0" w:rsidP="0024401C">
      <w:pPr>
        <w:spacing w:line="360" w:lineRule="auto"/>
        <w:jc w:val="both"/>
      </w:pPr>
      <w:r>
        <w:t xml:space="preserve">Non-penetrating surgeries differ from penetrating surgeries by not creating a new outflow pathway, but instead increasing the permeability of physiological outflow pathways </w:t>
      </w:r>
      <w:r w:rsidRPr="00437DB0">
        <w:t xml:space="preserve">(e.g., the trabecular meshwork and Schlemm’s canal) </w:t>
      </w:r>
      <w:r w:rsidRPr="00437DB0">
        <w:fldChar w:fldCharType="begin"/>
      </w:r>
      <w:r w:rsidRPr="00437DB0">
        <w:instrText xml:space="preserve"> ADDIN ZOTERO_ITEM CSL_CITATION {"citationID":"mxNa7ERm","properties":{"formattedCitation":"(Mendrinos et al., 2008)","plainCitation":"(Mendrinos et al., 2008)","noteIndex":0},"citationItems":[{"id":703,"uris":["http://zotero.org/users/15573016/items/UK5H9D4D"],"itemData":{"id":703,"type":"article-journal","abstract":"Nonpenetrating glaucoma surgeries have been developed in recent years in order to improve the safety of conventional filtering procedures. The goal of nonpenetrating filtering procedures is to reduce intraocular pressure by enhancing the natural aqueous outflow channels, while reducing outflow resistance located in the inner wall of the Schlemm's canal and the juxtacanalicular trabecular meshwork. In the last few years viscocanalostomy and deep sclerectomy with external trabeculectomy have become the most popular nonpenetrating filtering procedures. Both involve removal of a deep scleral flap, the external wall of Schlemm's canal and corneal stroma behind the anterior trabeculum and Descemet's membrane, thus creating an intrascleral space. The aqueous humour leaves the anterior chamber through the intact trabeculo-Descemet's membrane into the scleral space, from where it will egress into different pathways. The technique is associated with a long learning curve. Published clinical trials comparing nonpenetrating glaucoma surgery to full-thickness trabeculectomy have a consensus on the superior safety profile of nonpenetrating glaucoma surgery but are not in agreement when it comes to efficacy, where conflicting results have been found. This article reviews the nonpenetrating surgical techniques, mechanisms of action, indications, contraindications, complications, and results.","container-title":"Survey of Ophthalmology","DOI":"10.1016/j.survophthal.2008.08.023","ISSN":"0039-6257","issue":"6","journalAbbreviation":"Surv Ophthalmol","language":"eng","note":"PMID: 19026321","page":"592-630","source":"PubMed","title":"Nonpenetrating glaucoma surgery","volume":"53","author":[{"family":"Mendrinos","given":"Efstratios"},{"family":"Mermoud","given":"André"},{"family":"Shaarawy","given":"Tarek"}],"issued":{"date-parts":[["2008"]]},"citation-key":"mendrinos2008"}}],"schema":"https://github.com/citation-style-language/schema/raw/master/csl-citation.json"} </w:instrText>
      </w:r>
      <w:r w:rsidRPr="00437DB0">
        <w:fldChar w:fldCharType="separate"/>
      </w:r>
      <w:r w:rsidRPr="00437DB0">
        <w:rPr>
          <w:noProof/>
        </w:rPr>
        <w:t>(Mendrinos et al., 2008)</w:t>
      </w:r>
      <w:r w:rsidRPr="00437DB0">
        <w:fldChar w:fldCharType="end"/>
      </w:r>
      <w:r w:rsidRPr="00437DB0">
        <w:t>.</w:t>
      </w:r>
      <w:r>
        <w:t xml:space="preserve"> Non-penetrative procedures included in this review are deep sclerectomy (DS) and canaloplasty (CP). Both procedures share a similar </w:t>
      </w:r>
      <w:r w:rsidR="00BD2196">
        <w:t xml:space="preserve">initial </w:t>
      </w:r>
      <w:r>
        <w:t xml:space="preserve">approach, creating superficial and deep scleral flaps. </w:t>
      </w:r>
      <w:r w:rsidR="00BD2196">
        <w:t>Thereafter</w:t>
      </w:r>
      <w:r>
        <w:t xml:space="preserve">, the </w:t>
      </w:r>
      <w:r w:rsidRPr="005B46BE">
        <w:t>outer wall of Schlemm’s canal is unroofed</w:t>
      </w:r>
      <w:r>
        <w:t xml:space="preserve">. An important feature is the preservation of the integrity of the </w:t>
      </w:r>
      <w:r w:rsidR="00BD2196">
        <w:t>T</w:t>
      </w:r>
      <w:r w:rsidRPr="005B46BE">
        <w:t>rabeculo-Descemet membrane</w:t>
      </w:r>
      <w:r>
        <w:t xml:space="preserve"> (TDM). The TDM builds a pressure resistance barrier, allowing controlled aqueous percolation </w:t>
      </w:r>
      <w:r w:rsidR="008F4987">
        <w:fldChar w:fldCharType="begin"/>
      </w:r>
      <w:r w:rsidR="008F4987">
        <w:instrText xml:space="preserve"> ADDIN ZOTERO_ITEM CSL_CITATION {"citationID":"d9FOEPVa","properties":{"formattedCitation":"(Mendrinos et al., 2008)","plainCitation":"(Mendrinos et al., 2008)","noteIndex":0},"citationItems":[{"id":703,"uris":["http://zotero.org/users/15573016/items/UK5H9D4D"],"itemData":{"id":703,"type":"article-journal","abstract":"Nonpenetrating glaucoma surgeries have been developed in recent years in order to improve the safety of conventional filtering procedures. The goal of nonpenetrating filtering procedures is to reduce intraocular pressure by enhancing the natural aqueous outflow channels, while reducing outflow resistance located in the inner wall of the Schlemm's canal and the juxtacanalicular trabecular meshwork. In the last few years viscocanalostomy and deep sclerectomy with external trabeculectomy have become the most popular nonpenetrating filtering procedures. Both involve removal of a deep scleral flap, the external wall of Schlemm's canal and corneal stroma behind the anterior trabeculum and Descemet's membrane, thus creating an intrascleral space. The aqueous humour leaves the anterior chamber through the intact trabeculo-Descemet's membrane into the scleral space, from where it will egress into different pathways. The technique is associated with a long learning curve. Published clinical trials comparing nonpenetrating glaucoma surgery to full-thickness trabeculectomy have a consensus on the superior safety profile of nonpenetrating glaucoma surgery but are not in agreement when it comes to efficacy, where conflicting results have been found. This article reviews the nonpenetrating surgical techniques, mechanisms of action, indications, contraindications, complications, and results.","container-title":"Survey of Ophthalmology","DOI":"10.1016/j.survophthal.2008.08.023","ISSN":"0039-6257","issue":"6","journalAbbreviation":"Surv Ophthalmol","language":"eng","note":"PMID: 19026321","page":"592-630","source":"PubMed","title":"Nonpenetrating glaucoma surgery","volume":"53","author":[{"family":"Mendrinos","given":"Efstratios"},{"family":"Mermoud","given":"André"},{"family":"Shaarawy","given":"Tarek"}],"issued":{"date-parts":[["2008"]]},"citation-key":"mendrinos2008"}}],"schema":"https://github.com/citation-style-language/schema/raw/master/csl-citation.json"} </w:instrText>
      </w:r>
      <w:r w:rsidR="008F4987">
        <w:fldChar w:fldCharType="separate"/>
      </w:r>
      <w:r w:rsidR="008F4987">
        <w:rPr>
          <w:noProof/>
        </w:rPr>
        <w:t>(Mendrinos et al., 2008)</w:t>
      </w:r>
      <w:r w:rsidR="008F4987">
        <w:fldChar w:fldCharType="end"/>
      </w:r>
      <w:r w:rsidR="008F4987">
        <w:t xml:space="preserve">. </w:t>
      </w:r>
      <w:r w:rsidR="005B46BE" w:rsidRPr="005B46BE">
        <w:t>In DS, collagen implants and antifibrotic agents are often</w:t>
      </w:r>
      <w:r>
        <w:t xml:space="preserve"> additionally</w:t>
      </w:r>
      <w:r w:rsidR="005B46BE" w:rsidRPr="005B46BE">
        <w:t xml:space="preserve"> used as adjuvant measures to </w:t>
      </w:r>
      <w:r>
        <w:t>ensure</w:t>
      </w:r>
      <w:r w:rsidR="005B46BE" w:rsidRPr="005B46BE">
        <w:t xml:space="preserve"> successful surgical outcomes</w:t>
      </w:r>
      <w:r w:rsidR="008F4987">
        <w:t xml:space="preserve"> </w:t>
      </w:r>
      <w:r w:rsidR="008F4987">
        <w:fldChar w:fldCharType="begin"/>
      </w:r>
      <w:r w:rsidR="008F4987">
        <w:instrText xml:space="preserve"> ADDIN ZOTERO_ITEM CSL_CITATION {"citationID":"2icunguc","properties":{"formattedCitation":"(Khairy et al., 2006)","plainCitation":"(Khairy et al., 2006)","noteIndex":0},"citationItems":[{"id":821,"uris":["http://zotero.org/users/15573016/items/GRHQZITX"],"itemData":{"id":821,"type":"article-journal","abstract":"AIM: To study the long-term outcome of deep sclerectomy in patients with open angle glaucoma.\nMETHODS: Prospective consecutive series of 43 eyes (38 patients) with medically uncontrolled open-angle glaucoma undergoing deep sclerectomy. All patients underwent clinical assessment before and after surgery at day 7 and at months 1, 3, 6, 12, 18, 24, 36. Surgical success was considered if the patient's intraocular pressure (IOP) &lt; 22 mmHg and the IOP was lowered by more than 20% without the use of any medication. Kaplan-Meier survival curves were used to evaluate the success rate.\nRESULTS: The mean follow-up time was 28.1 +/- 8.2 months. Mean IOP decreased significantly from a preoperative value of 24.6 +/- 5.5 mmHg to a postoperative value of 18.5 +/- 4.6 mmHg at 36 months (P &lt; 0.001). Microperforation of TDM occurred in three cases (7.0%) and ciliary body prolapse in one case (2.3%) but did not prevent completion of the operation. Postoperatively, hyphaema was detected in one case and shallow anterior chamber in another case and both were treated conservatively. Bleb encapsulation with elevation of IOP occurred in two cases (4.7%) and was treated with 5-fluorouracil subconjunctival injection. Goniopuncture with neodymium : YAG laser was performed in two cases (4.7%). There were no other late complications with the exception of failure of the operation. On the life-table analysis the success rate at 12, 24, and 30 months were 61.4, 36.6, and 18.9%, respectively.\nCONCLUSION: Deep sclerectomy reduced the IOP temporarily while minimising the risk of postoperative complications commonly encountered with standard trabeculectomy. However, after long-term follow-up surgery failed to maintain a low IOP.","container-title":"Eye (London, England)","DOI":"10.1038/sj.eye.6701878","ISSN":"0950-222X","issue":"3","journalAbbreviation":"Eye (Lond)","language":"eng","note":"PMID: 15832183","page":"336-340","source":"PubMed","title":"Control of intraocular pressure after deep sclerectomy","volume":"20","author":[{"family":"Khairy","given":"H. A."},{"family":"Green","given":"F. D."},{"family":"Nassar","given":"M. K."},{"family":"Azuara-Blanco","given":"A."}],"issued":{"date-parts":[["2006",3]]},"citation-key":"khairy2006"}}],"schema":"https://github.com/citation-style-language/schema/raw/master/csl-citation.json"} </w:instrText>
      </w:r>
      <w:r w:rsidR="008F4987">
        <w:fldChar w:fldCharType="separate"/>
      </w:r>
      <w:r w:rsidR="008F4987">
        <w:rPr>
          <w:noProof/>
        </w:rPr>
        <w:t>(Khairy et al., 2006)</w:t>
      </w:r>
      <w:r w:rsidR="008F4987">
        <w:fldChar w:fldCharType="end"/>
      </w:r>
      <w:r w:rsidR="005B46BE" w:rsidRPr="005B46BE">
        <w:t>.</w:t>
      </w:r>
      <w:r>
        <w:t xml:space="preserve"> </w:t>
      </w:r>
      <w:r w:rsidRPr="00437DB0">
        <w:t>In</w:t>
      </w:r>
      <w:r w:rsidR="008F4987" w:rsidRPr="00437DB0">
        <w:t xml:space="preserve"> </w:t>
      </w:r>
      <w:r w:rsidR="005B46BE" w:rsidRPr="00437DB0">
        <w:t>CP</w:t>
      </w:r>
      <w:r>
        <w:t>,</w:t>
      </w:r>
      <w:r w:rsidRPr="00437DB0">
        <w:t xml:space="preserve"> the surgical technique is extended by </w:t>
      </w:r>
      <w:r w:rsidR="005B46BE" w:rsidRPr="00437DB0">
        <w:t>performing circumferential cannulation of Schlemm’s canal,</w:t>
      </w:r>
      <w:r w:rsidRPr="00437DB0">
        <w:t xml:space="preserve"> which is </w:t>
      </w:r>
      <w:r w:rsidR="005B46BE" w:rsidRPr="00437DB0">
        <w:t>followed by viscodilation with a microcatheter. After viscodilation, tension sutures are placed within Schlemm’s canal to maintain its patency and provide sustained enhancement of aqueous outflow</w:t>
      </w:r>
      <w:r w:rsidR="008F4987" w:rsidRPr="00437DB0">
        <w:t xml:space="preserve"> </w:t>
      </w:r>
      <w:r w:rsidR="008F4987" w:rsidRPr="00437DB0">
        <w:fldChar w:fldCharType="begin"/>
      </w:r>
      <w:r w:rsidR="008F4987" w:rsidRPr="00437DB0">
        <w:instrText xml:space="preserve"> ADDIN ZOTERO_ITEM CSL_CITATION {"citationID":"cjb8YqHg","properties":{"formattedCitation":"(Grieshaber et al., 2010; Lewis et al., 2011)","plainCitation":"(Grieshaber et al., 2010; Lewis et al., 2011)","noteIndex":0},"citationItems":[{"id":824,"uris":["http://zotero.org/users/15573016/items/BN4DFXEL"],"itemData":{"id":824,"type":"article-journal","abstract":"BACKGROUND/AIMS: To study the safety and effectiveness of 360° viscodilation and tensioning of Schlemm canal (canaloplasty) in black African patients with primary open-angle glaucoma (POAG).\nMETHODS: Sixty randomly selected eyes of 60 consecutive patients with POAG were included in this prospective study. Canaloplasty comprised 360° catheterisation of Schlemm's canal by means of a flexible microcatheter with distension of the canal by a tensioning 10-0 polypropylene suture.\nRESULTS: The mean preoperative intraocular pressure pressure (IOP) was 45.0 ± 12.1 mm Hg. The mean follow-up time was 30.6 ± 8.4 months. The mean IOP at 12 months was 15.4 ± 5.2 mm Hg (n=54), at 24 months 16.3 ± 4.2 mm Hg (n = 51) and at 36 months 13.3 ± 1.7 mm Hg (n=49). For IOP ≤ 21 mm Hg, complete success rate was 77.5% and qualified success rate was 81.6% at 36 months. Cox regression analysis showed that preoperative IOP (HR = 1.003, 95% CI = 0.927 to 1.085; p = 0.94), age (HR = 1.000, CI = 0.938 to 1.067; p = 0.98) and sex (HR = 3.005, CI=0.329 to 27.448; p=0.33) were all not significant predictors of IOP reduction to ≤ 21 mm Hg. Complication rate was low (Descemet's detachment n=2, elevated IOP n = 1, false passage of the catheter n = 2).\nCONCLUSION: Canaloplasty produced a sustained long-term reduction of IOP in black Africans with POAG independent of preoperative IOP. As a bleb-independent procedure, canaloplasty may be a true alternative to classic filtering surgery, in particular in patients with enhanced wound healing and scar formation.","container-title":"The British Journal of Ophthalmology","DOI":"10.1136/bjo.2009.163170","ISSN":"1468-2079","issue":"11","journalAbbreviation":"Br J Ophthalmol","language":"eng","note":"PMID: 20962352","page":"1478-1482","source":"PubMed","title":"Canaloplasty for primary open-angle glaucoma: long-term outcome","title-short":"Canaloplasty for primary open-angle glaucoma","volume":"94","author":[{"family":"Grieshaber","given":"Matthias C."},{"family":"Pienaar","given":"Ané"},{"family":"Olivier","given":"Jan"},{"family":"Stegmann","given":"Robert"}],"issued":{"date-parts":[["2010",11]]},"citation-key":"grieshaber2010"}},{"id":1447,"uris":["http://zotero.org/users/15573016/items/5PURI3IM"],"itemData":{"id":1447,"type":"article-journal","abstract":"PURPOSE: To report 3-year results of the safety and efficacy of canaloplasty, a procedure involving circumferential viscodilation and tensioning of the inner wall of Schlemm canal to treat open-angle glaucoma.\nSETTING: Multicenter surgical sites.\nDESIGN: Nonrandomized multicenter clinical trial.\nMETHODS: This study comprised adult open-angle glaucoma patients having canaloplasty or combined cataract-canaloplasty surgery. Qualifying preoperative intraocular pressures (IOPs) were at least 16 mm Hg with historical IOPs of at least 21 mm Hg. A flexible microcatheter was used to viscodilate the full circumference of the canal and to place a trabecular tensioning suture. Primary outcome measures included IOP, glaucoma medication use, and adverse events.\nRESULTS: Three years postoperatively, all study eyes (n = 157) had a mean IOP of 15.2 mm Hg ± 3.5 (SD) and mean glaucoma medication use of 0.8 ± 0.9 compared with a baseline IOP of 23.8 ± 5.0 mm Hg on 1.8 ± 0.9 medications. Eyes with combined cataract-canaloplasty surgery had a mean IOP of 13.6 ± 3.6 mm Hg on 0.3 ± 0.5 medications compared with a baseline IOP of 23.5 ± 5.2 mm Hg on 1.5 ± 1.0 medications. Intraocular pressure and medication use results in all eyes were significantly decreased from baseline at every time point (P&lt;.001). Late postoperative complications included cataract (12.7%), transient IOP elevation (6.4%), and partial suture extrusion through the trabecular meshwork (0.6%).\nCONCLUSION: Canaloplasty led to a significant and sustained IOP reduction in adult patients with open-angle glaucoma and had an excellent short- and long-term postoperative safety profile.\nFINANCIAL DISCLOSURE: No author has a financial or proprietary interest in any material or method mentioned. Additional disclosures are found in the footnotes.","container-title":"Journal of Cataract and Refractive Surgery","DOI":"10.1016/j.jcrs.2010.10.055","ISSN":"1873-4502","issue":"4","journalAbbreviation":"J Cataract Refract Surg","language":"eng","note":"PMID: 21420593","page":"682-690","source":"PubMed","title":"Canaloplasty: Three-year results of circumferential viscodilation and tensioning of Schlemm canal using a microcatheter to treat open-angle glaucoma","title-short":"Canaloplasty","volume":"37","author":[{"family":"Lewis","given":"Richard A."},{"family":"Wolff","given":"Kurt","non-dropping-particle":"von"},{"family":"Tetz","given":"Manfred"},{"family":"Koerber","given":"Norbert"},{"family":"Kearney","given":"John R."},{"family":"Shingleton","given":"Bradford J."},{"family":"Samuelson","given":"Thomas W."}],"issued":{"date-parts":[["2011",4]]},"citation-key":"lewis2011"}}],"schema":"https://github.com/citation-style-language/schema/raw/master/csl-citation.json"} </w:instrText>
      </w:r>
      <w:r w:rsidR="008F4987" w:rsidRPr="00437DB0">
        <w:fldChar w:fldCharType="separate"/>
      </w:r>
      <w:r w:rsidR="008F4987" w:rsidRPr="00437DB0">
        <w:rPr>
          <w:noProof/>
        </w:rPr>
        <w:t>(Grieshaber et al., 2010; Lewis et al., 2011)</w:t>
      </w:r>
      <w:r w:rsidR="008F4987" w:rsidRPr="00437DB0">
        <w:fldChar w:fldCharType="end"/>
      </w:r>
      <w:r w:rsidR="005B46BE" w:rsidRPr="00437DB0">
        <w:t>.</w:t>
      </w:r>
      <w:r w:rsidR="008F4987">
        <w:t xml:space="preserve"> </w:t>
      </w:r>
      <w:r w:rsidR="005B46BE" w:rsidRPr="005B46BE">
        <w:t>Both procedures are indicated for patients with mild to moderate POAG</w:t>
      </w:r>
      <w:r w:rsidR="00AF101A">
        <w:t xml:space="preserve"> </w:t>
      </w:r>
      <w:r w:rsidR="00AF101A">
        <w:fldChar w:fldCharType="begin"/>
      </w:r>
      <w:r w:rsidR="00886E7E">
        <w:instrText xml:space="preserve"> ADDIN ZOTERO_ITEM CSL_CITATION {"citationID":"phwUKqfj","properties":{"formattedCitation":"(Gedde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rsidR="00AF101A">
        <w:fldChar w:fldCharType="separate"/>
      </w:r>
      <w:r w:rsidR="00886E7E">
        <w:rPr>
          <w:noProof/>
        </w:rPr>
        <w:t>(Gedde et al., 2021b)</w:t>
      </w:r>
      <w:r w:rsidR="00AF101A">
        <w:fldChar w:fldCharType="end"/>
      </w:r>
      <w:r w:rsidR="005B46BE" w:rsidRPr="005B46BE">
        <w:t>.</w:t>
      </w:r>
      <w:r w:rsidR="008F4987">
        <w:t xml:space="preserve"> </w:t>
      </w:r>
    </w:p>
    <w:p w14:paraId="72D30F67" w14:textId="4A53FD20" w:rsidR="00B14B8D" w:rsidRDefault="005B46BE" w:rsidP="0024401C">
      <w:pPr>
        <w:spacing w:line="360" w:lineRule="auto"/>
        <w:ind w:firstLine="720"/>
        <w:jc w:val="both"/>
      </w:pPr>
      <w:r w:rsidRPr="005B46BE">
        <w:t>Contraindications for non-penetrating procedures include angle-closure glaucoma, neovascular glaucoma, uveitic glaucoma, advanced angle pathology, and very low target IOP</w:t>
      </w:r>
      <w:r w:rsidR="008F4987">
        <w:t>.</w:t>
      </w:r>
      <w:r w:rsidR="00A81909">
        <w:t xml:space="preserve"> </w:t>
      </w:r>
      <w:r w:rsidRPr="005B46BE">
        <w:t>DS and CP</w:t>
      </w:r>
      <w:r w:rsidR="00A81909">
        <w:t xml:space="preserve"> have been shown in studies to</w:t>
      </w:r>
      <w:r w:rsidRPr="005B46BE">
        <w:t xml:space="preserve"> reduce IOP by 30–40% from baseline, with postoperative IOP values typically in the low-to-mid </w:t>
      </w:r>
      <w:r w:rsidR="00BD2196" w:rsidRPr="00B037BE">
        <w:t>teens</w:t>
      </w:r>
      <w:r w:rsidRPr="005B46BE">
        <w:t xml:space="preserve"> at one to three years</w:t>
      </w:r>
      <w:r w:rsidR="00886E7E">
        <w:t xml:space="preserve"> </w:t>
      </w:r>
      <w:r w:rsidR="00886E7E">
        <w:fldChar w:fldCharType="begin"/>
      </w:r>
      <w:r w:rsidR="00886E7E">
        <w:instrText xml:space="preserve"> ADDIN ZOTERO_ITEM CSL_CITATION {"citationID":"jw9bfk5m","properties":{"formattedCitation":"(Bull et al., 2011; Grieshaber et al., 2010; Lewis et al., 2011)","plainCitation":"(Bull et al., 2011; Grieshaber et al., 2010; Lewis et al., 2011)","noteIndex":0},"citationItems":[{"id":1568,"uris":["http://zotero.org/users/15573016/items/MP7ABGEW"],"itemData":{"id":1568,"type":"article-journal","container-title":"Graefe's Archive for Clinical and Experimental Ophthalmology","DOI":"10.1007/s00417-011-1728-3","ISSN":"0721-832X, 1435-702X","issue":"10","journalAbbreviation":"Graefes Arch Clin Exp Ophthalmol","language":"en","license":"http://www.springer.com/tdm","page":"1537-1545","source":"DOI.org (Crossref)","title":"Three-year canaloplasty outcomes for the treatment of open-angle glaucoma: European study results","title-short":"Three-year canaloplasty outcomes for the treatment of open-angle glaucoma","URL":"http://link.springer.com/10.1007/s00417-011-1728-3","volume":"249","author":[{"family":"Bull","given":"Holger"},{"family":"Von Wolff","given":"Kurt"},{"family":"Körber","given":"Norbert"},{"family":"Tetz","given":"Manfred"}],"accessed":{"date-parts":[["2025",6,30]]},"issued":{"date-parts":[["2011",10]]},"citation-key":"bull2011"}},{"id":824,"uris":["http://zotero.org/users/15573016/items/BN4DFXEL"],"itemData":{"id":824,"type":"article-journal","abstract":"BACKGROUND/AIMS: To study the safety and effectiveness of 360° viscodilation and tensioning of Schlemm canal (canaloplasty) in black African patients with primary open-angle glaucoma (POAG).\nMETHODS: Sixty randomly selected eyes of 60 consecutive patients with POAG were included in this prospective study. Canaloplasty comprised 360° catheterisation of Schlemm's canal by means of a flexible microcatheter with distension of the canal by a tensioning 10-0 polypropylene suture.\nRESULTS: The mean preoperative intraocular pressure pressure (IOP) was 45.0 ± 12.1 mm Hg. The mean follow-up time was 30.6 ± 8.4 months. The mean IOP at 12 months was 15.4 ± 5.2 mm Hg (n=54), at 24 months 16.3 ± 4.2 mm Hg (n = 51) and at 36 months 13.3 ± 1.7 mm Hg (n=49). For IOP ≤ 21 mm Hg, complete success rate was 77.5% and qualified success rate was 81.6% at 36 months. Cox regression analysis showed that preoperative IOP (HR = 1.003, 95% CI = 0.927 to 1.085; p = 0.94), age (HR = 1.000, CI = 0.938 to 1.067; p = 0.98) and sex (HR = 3.005, CI=0.329 to 27.448; p=0.33) were all not significant predictors of IOP reduction to ≤ 21 mm Hg. Complication rate was low (Descemet's detachment n=2, elevated IOP n = 1, false passage of the catheter n = 2).\nCONCLUSION: Canaloplasty produced a sustained long-term reduction of IOP in black Africans with POAG independent of preoperative IOP. As a bleb-independent procedure, canaloplasty may be a true alternative to classic filtering surgery, in particular in patients with enhanced wound healing and scar formation.","container-title":"The British Journal of Ophthalmology","DOI":"10.1136/bjo.2009.163170","ISSN":"1468-2079","issue":"11","journalAbbreviation":"Br J Ophthalmol","language":"eng","note":"PMID: 20962352","page":"1478-1482","source":"PubMed","title":"Canaloplasty for primary open-angle glaucoma: long-term outcome","title-short":"Canaloplasty for primary open-angle glaucoma","volume":"94","author":[{"family":"Grieshaber","given":"Matthias C."},{"family":"Pienaar","given":"Ané"},{"family":"Olivier","given":"Jan"},{"family":"Stegmann","given":"Robert"}],"issued":{"date-parts":[["2010",11]]},"citation-key":"grieshaber2010"}},{"id":1447,"uris":["http://zotero.org/users/15573016/items/5PURI3IM"],"itemData":{"id":1447,"type":"article-journal","abstract":"PURPOSE: To report 3-year results of the safety and efficacy of canaloplasty, a procedure involving circumferential viscodilation and tensioning of the inner wall of Schlemm canal to treat open-angle glaucoma.\nSETTING: Multicenter surgical sites.\nDESIGN: Nonrandomized multicenter clinical trial.\nMETHODS: This study comprised adult open-angle glaucoma patients having canaloplasty or combined cataract-canaloplasty surgery. Qualifying preoperative intraocular pressures (IOPs) were at least 16 mm Hg with historical IOPs of at least 21 mm Hg. A flexible microcatheter was used to viscodilate the full circumference of the canal and to place a trabecular tensioning suture. Primary outcome measures included IOP, glaucoma medication use, and adverse events.\nRESULTS: Three years postoperatively, all study eyes (n = 157) had a mean IOP of 15.2 mm Hg ± 3.5 (SD) and mean glaucoma medication use of 0.8 ± 0.9 compared with a baseline IOP of 23.8 ± 5.0 mm Hg on 1.8 ± 0.9 medications. Eyes with combined cataract-canaloplasty surgery had a mean IOP of 13.6 ± 3.6 mm Hg on 0.3 ± 0.5 medications compared with a baseline IOP of 23.5 ± 5.2 mm Hg on 1.5 ± 1.0 medications. Intraocular pressure and medication use results in all eyes were significantly decreased from baseline at every time point (P&lt;.001). Late postoperative complications included cataract (12.7%), transient IOP elevation (6.4%), and partial suture extrusion through the trabecular meshwork (0.6%).\nCONCLUSION: Canaloplasty led to a significant and sustained IOP reduction in adult patients with open-angle glaucoma and had an excellent short- and long-term postoperative safety profile.\nFINANCIAL DISCLOSURE: No author has a financial or proprietary interest in any material or method mentioned. Additional disclosures are found in the footnotes.","container-title":"Journal of Cataract and Refractive Surgery","DOI":"10.1016/j.jcrs.2010.10.055","ISSN":"1873-4502","issue":"4","journalAbbreviation":"J Cataract Refract Surg","language":"eng","note":"PMID: 21420593","page":"682-690","source":"PubMed","title":"Canaloplasty: Three-year results of circumferential viscodilation and tensioning of Schlemm canal using a microcatheter to treat open-angle glaucoma","title-short":"Canaloplasty","volume":"37","author":[{"family":"Lewis","given":"Richard A."},{"family":"Wolff","given":"Kurt","non-dropping-particle":"von"},{"family":"Tetz","given":"Manfred"},{"family":"Koerber","given":"Norbert"},{"family":"Kearney","given":"John R."},{"family":"Shingleton","given":"Bradford J."},{"family":"Samuelson","given":"Thomas W."}],"issued":{"date-parts":[["2011",4]]},"citation-key":"lewis2011"}}],"schema":"https://github.com/citation-style-language/schema/raw/master/csl-citation.json"} </w:instrText>
      </w:r>
      <w:r w:rsidR="00886E7E">
        <w:fldChar w:fldCharType="separate"/>
      </w:r>
      <w:r w:rsidR="00886E7E">
        <w:rPr>
          <w:noProof/>
        </w:rPr>
        <w:t>(Bull et al., 2011; Grieshaber et al., 2010; Lewis et al., 2011)</w:t>
      </w:r>
      <w:r w:rsidR="00886E7E">
        <w:fldChar w:fldCharType="end"/>
      </w:r>
      <w:r w:rsidRPr="005B46BE">
        <w:t>. When comparing outcomes</w:t>
      </w:r>
      <w:r w:rsidR="00B14B8D">
        <w:t>, CP and DS are shown to achieve</w:t>
      </w:r>
      <w:r w:rsidRPr="005B46BE">
        <w:t xml:space="preserve"> a similar degree of IOP reduction </w:t>
      </w:r>
      <w:r w:rsidR="00886E7E">
        <w:fldChar w:fldCharType="begin"/>
      </w:r>
      <w:r w:rsidR="00886E7E">
        <w:instrText xml:space="preserve"> ADDIN ZOTERO_ITEM CSL_CITATION {"citationID":"7SbIsLXB","properties":{"formattedCitation":"(R\\uc0\\u281{}kas et al., 2015)","plainCitation":"(Rękas et al., 2015)","noteIndex":0},"citationItems":[{"id":1569,"uris":["http://zotero.org/users/15573016/items/MIWHS2C4"],"itemData":{"id":1569,"type":"article-journal","container-title":"Graefe's Archive for Clinical and Experimental Ophthalmology","DOI":"10.1007/s00417-015-2931-4","ISSN":"0721-832X, 1435-702X","issue":"4","journalAbbreviation":"Graefes Arch Clin Exp Ophthalmol","language":"en","page":"591-599","source":"DOI.org (Crossref)","title":"Canaloplasty versus non-penetrating deep sclerectomy – a prospective, randomised study of the safety and efficacy of combined cataract and glaucoma surgery; 12-month follow-up","URL":"http://link.springer.com/10.1007/s00417-015-2931-4","volume":"253","author":[{"family":"Rękas","given":"Marek"},{"family":"Byszewska","given":"Anna"},{"family":"Petz","given":"Katarzyna"},{"family":"Wierzbowska","given":"Joanna"},{"family":"Jünemann","given":"Anselm"}],"accessed":{"date-parts":[["2025",6,30]]},"issued":{"date-parts":[["2015",4]]},"citation-key":"rekas2015"}}],"schema":"https://github.com/citation-style-language/schema/raw/master/csl-citation.json"} </w:instrText>
      </w:r>
      <w:r w:rsidR="00886E7E">
        <w:fldChar w:fldCharType="separate"/>
      </w:r>
      <w:r w:rsidR="00886E7E" w:rsidRPr="00886E7E">
        <w:t>(Rękas et al., 2015)</w:t>
      </w:r>
      <w:r w:rsidR="00886E7E">
        <w:fldChar w:fldCharType="end"/>
      </w:r>
      <w:r w:rsidR="00886E7E">
        <w:t xml:space="preserve">. </w:t>
      </w:r>
      <w:r w:rsidR="00B14B8D">
        <w:t xml:space="preserve"> </w:t>
      </w:r>
      <w:r w:rsidRPr="005B46BE">
        <w:t xml:space="preserve">Five-year data for DS </w:t>
      </w:r>
      <w:r w:rsidR="00B14B8D">
        <w:t>reports</w:t>
      </w:r>
      <w:r w:rsidRPr="005B46BE">
        <w:t xml:space="preserve"> an overall complete success rate of 33% in POAG and 12% in </w:t>
      </w:r>
      <w:r w:rsidRPr="00B037BE">
        <w:t>pseudoexfoliation</w:t>
      </w:r>
      <w:r w:rsidRPr="005B46BE">
        <w:t xml:space="preserve"> glaucoma, with reoperation rates of 8% and 21%, respectively </w:t>
      </w:r>
      <w:r w:rsidR="00886E7E">
        <w:fldChar w:fldCharType="begin"/>
      </w:r>
      <w:r w:rsidR="00886E7E">
        <w:instrText xml:space="preserve"> ADDIN ZOTERO_ITEM CSL_CITATION {"citationID":"vgkWu0zG","properties":{"formattedCitation":"(Fiore et al., 2024)","plainCitation":"(Fiore et al., 2024)","noteIndex":0},"citationItems":[{"id":1157,"uris":["http://zotero.org/users/15573016/items/98CAVNT3"],"itemData":{"id":1157,"type":"article-journal","abstract":"Objectives: This study aimed to investigate the five-year outcomes of deep sclerectomy (DS) in patients with pseudoexfoliation glaucoma (PEXG) and primary open-angle glaucoma (POAG). Methods: This retrospective, observational, unicentric study analyzed POAG and PEXG patients. Intraocular pressure (IOP), the number of IOP-lowering medications, peripapillary retinal nerve fiber layer (RNFL) thickness, the number of postoperative interventions, surgical success rates, and secondary surgery rates were evaluated at baseline and during follow-up appointments. Results: A total of 109 POAG and 153 PEXG eyes were included. Over the 5-year follow-up, IOP decreased in both groups (p = 0.17), from 22.8 ± 0.7 to 13.3 ± 0.6 mmHg (p &lt; 0.001; POAG) and from 24.3 ± 0.8 to 16.6 ± 1.2 mmHg (p &lt; 0.001; PEXG). The number of IOP-lowering medications decreased comparably (p = 0.99), from 3.1 ± 0.1 to 1.7 ± 0.3 (p = 0.001; POAG) and from 3.4 ± 0.1 to 1.7 ± 0.2 (p &lt; 0.001; PEXG). Peripapillary RNFL thickness decreased in both groups (p = 0.31), from 60.6 ± 1.9 to 54.2 ± 2.4 µm (p &lt; 0.001; POAG) and from 63.1 ± 1.7 to 58.0 ± 2.3 µm (p &lt; 0.001; PEXG). The 5-year complete success rates were 33% and 12% for the POAG and PEXG groups, respectively (p = 0.01). The qualified success rates were 63% and 40% (p = 0.03). Secondary glaucoma surgery was required in 8% of POAG eyes and 21% of PEXG eyes (p = 0.04). Conclusions: DS resulted in comparable results for IOP, medications, and RNFL development in the PEXG and POAG groups but in less favorable outcomes concerning surgical success and further necessary repeated glaucoma surgery in patients with PEXG over the 5-year follow-up period.","container-title":"Journal of Clinical Medicine","DOI":"10.3390/jcm13237434","ISSN":"2077-0383","issue":"23","journalAbbreviation":"JCM","language":"en","license":"https://creativecommons.org/licenses/by/4.0/","page":"7434","source":"DOI.org (Crossref)","title":"Five-Year Outcomes of Deep Sclerectomy in Pseudoexfoliation Glaucoma Compared to Primary Open-Angle Glaucoma","URL":"https://www.mdpi.com/2077-0383/13/23/7434","volume":"13","author":[{"family":"Fiore","given":"Carlo"},{"family":"Shang","given":"Xiao"},{"family":"Lincke","given":"Joel-Benjamin"},{"family":"Häner","given":"Nathanael Urs"},{"family":"Zinkernagel","given":"Martin Sebastian"},{"family":"Unterlauft","given":"Jan Darius"}],"accessed":{"date-parts":[["2025",4,2]]},"issued":{"date-parts":[["2024",12,6]]},"citation-key":"fiore2024"}}],"schema":"https://github.com/citation-style-language/schema/raw/master/csl-citation.json"} </w:instrText>
      </w:r>
      <w:r w:rsidR="00886E7E">
        <w:fldChar w:fldCharType="separate"/>
      </w:r>
      <w:r w:rsidR="00886E7E">
        <w:rPr>
          <w:noProof/>
        </w:rPr>
        <w:t>(Fiore et al., 2024)</w:t>
      </w:r>
      <w:r w:rsidR="00886E7E">
        <w:fldChar w:fldCharType="end"/>
      </w:r>
      <w:r w:rsidRPr="005B46BE">
        <w:t xml:space="preserve">. </w:t>
      </w:r>
      <w:bookmarkStart w:id="24" w:name="_Hlk212747023"/>
      <w:r w:rsidRPr="005B46BE">
        <w:t xml:space="preserve">For CP, a three-year study reported a complete surgical success rate of 58.74% and a reoperation rate of 4.4% </w:t>
      </w:r>
      <w:r w:rsidR="00886E7E">
        <w:fldChar w:fldCharType="begin"/>
      </w:r>
      <w:r w:rsidR="00886E7E">
        <w:instrText xml:space="preserve"> ADDIN ZOTERO_ITEM CSL_CITATION {"citationID":"R12X0mES","properties":{"formattedCitation":"(Konopi\\uc0\\u324{}ska et al., 2024)","plainCitation":"(Konopińska et al., 2024)","noteIndex":0},"citationItems":[{"id":1701,"uris":["http://zotero.org/users/15573016/items/V7MTV88K"],"itemData":{"id":1701,"type":"article-journal","abstract":"This study aimed to assess the effectiveness and safety of ab externo canaloplasty over a 3-year follow-up period in Polish Caucasian patients with glaucoma. This retrospective study of a cases series was conducted at the Department of Ophthalmology Medical University of Bialystok, Poland. Primary outcome measures were intraocular pressure and medication burden. Secondary outcome measures were best corrected visual acuity, retinal nerve fiber layer thickness, visual field test results, endothelial cell density, intraoperative and postoperative complications, and additional glaucoma surgery. The study group consisted of 160 eyes diagnosed with early to-moderate primary open-angle glaucoma and treated with ab externo canaloplasty from 2014 to 2020. The criteria for qualified and complete success were intraocular pressure &lt; 18 mmHg or ≥ 20% reduction in intraocular pressure from baseline with or without antiglaucoma medications, respectively. After surgery, the mean intraocular pressure decreased from 19.23 ± 4.33 to 14.52 ± 3.79 mmHg, which constituted a 36.7 ± 7.8% reduction compared to the baseline value. The number of medications decreased by two at the end of the study period (from 2.69 ± 1.05 to 0.32 ± 0.75). Complete and qualified success were achieved in 58.7% and 68.7% of the patients, respectively, at the end of follow-up. An incomplete cannulation of Schlemm’s canal was the most common intraoperative complication, occurring in 32 eyes (20%). The most frequent postoperative complications were hyphema, Descemet’s membrane detachment, and a transient increase in intraocular pressure. Additional surgical procedure was required in seven cases (4.4%). In 16 patients (10%), medical treatment was re-administered. Overall, our findings suggest that ab externo canaloplasty is a good option for Polish Caucasian patients with primary open-angle glaucoma. It reduces intraocular pressure and has a low postoperative complication rate. Additional glaucoma surgery or re-administration of medications is required if the target intraocular pressure is unsatisfactory.","container-title":"PLOS ONE","DOI":"10.1371/journal.pone.0312236","ISSN":"1932-6203","issue":"10","journalAbbreviation":"PLoS ONE","language":"en","page":"e0312236","source":"DOI.org (Crossref)","title":"Long-term efficacy and safety of ab externo canaloplasty in the Polish Caucasian population with open-angle glaucoma: A 3-year retrospective study","title-short":"Long-term efficacy and safety of ab externo canaloplasty in the Polish Caucasian population with open-angle glaucoma","URL":"https://dx.plos.org/10.1371/journal.pone.0312236","volume":"19","author":[{"family":"Konopińska","given":"Joanna"},{"family":"Gołaszewska","given":"Kinga"},{"family":"Saeed","given":"Emil"}],"editor":[{"family":"Mohan","given":"Rajiv R."}],"accessed":{"date-parts":[["2025",7,1]]},"issued":{"date-parts":[["2024",10,16]]},"citation-key":"konopinska2024"}}],"schema":"https://github.com/citation-style-language/schema/raw/master/csl-citation.json"} </w:instrText>
      </w:r>
      <w:r w:rsidR="00886E7E">
        <w:fldChar w:fldCharType="separate"/>
      </w:r>
      <w:r w:rsidR="00886E7E" w:rsidRPr="00886E7E">
        <w:t>(Konopińska et al., 2024)</w:t>
      </w:r>
      <w:r w:rsidR="00886E7E">
        <w:fldChar w:fldCharType="end"/>
      </w:r>
      <w:r w:rsidRPr="005B46BE">
        <w:t>.</w:t>
      </w:r>
      <w:bookmarkEnd w:id="24"/>
    </w:p>
    <w:p w14:paraId="4DB36762" w14:textId="77777777" w:rsidR="0024401C" w:rsidRDefault="0024401C" w:rsidP="003A0B82">
      <w:pPr>
        <w:spacing w:line="360" w:lineRule="auto"/>
        <w:ind w:firstLine="720"/>
        <w:jc w:val="both"/>
      </w:pPr>
    </w:p>
    <w:p w14:paraId="27E8A437" w14:textId="7B9EC3AE" w:rsidR="001861FE" w:rsidRPr="00B14B8D" w:rsidRDefault="00B14B8D" w:rsidP="003A0B82">
      <w:pPr>
        <w:spacing w:line="360" w:lineRule="auto"/>
        <w:ind w:firstLine="720"/>
        <w:jc w:val="both"/>
      </w:pPr>
      <w:r>
        <w:t>Postoperative complications after non-penetrating surgeries</w:t>
      </w:r>
      <w:r w:rsidR="0024401C">
        <w:t xml:space="preserve"> (</w:t>
      </w:r>
      <w:r w:rsidR="0024401C" w:rsidRPr="0024401C">
        <w:rPr>
          <w:i/>
          <w:iCs/>
        </w:rPr>
        <w:fldChar w:fldCharType="begin"/>
      </w:r>
      <w:r w:rsidR="0024401C" w:rsidRPr="0024401C">
        <w:rPr>
          <w:i/>
          <w:iCs/>
        </w:rPr>
        <w:instrText xml:space="preserve"> REF _Ref213182209 \h </w:instrText>
      </w:r>
      <w:r w:rsidR="0024401C" w:rsidRPr="0024401C">
        <w:rPr>
          <w:i/>
          <w:iCs/>
        </w:rPr>
      </w:r>
      <w:r w:rsidR="0024401C">
        <w:rPr>
          <w:i/>
          <w:iCs/>
        </w:rPr>
        <w:instrText xml:space="preserve"> \* MERGEFORMAT </w:instrText>
      </w:r>
      <w:r w:rsidR="0024401C" w:rsidRPr="0024401C">
        <w:rPr>
          <w:i/>
          <w:iCs/>
        </w:rPr>
        <w:fldChar w:fldCharType="separate"/>
      </w:r>
      <w:r w:rsidR="0024401C" w:rsidRPr="0024401C">
        <w:rPr>
          <w:i/>
          <w:iCs/>
        </w:rPr>
        <w:t xml:space="preserve">Table </w:t>
      </w:r>
      <w:r w:rsidR="0024401C" w:rsidRPr="0024401C">
        <w:rPr>
          <w:i/>
          <w:iCs/>
          <w:noProof/>
        </w:rPr>
        <w:t>3</w:t>
      </w:r>
      <w:r w:rsidR="0024401C" w:rsidRPr="0024401C">
        <w:rPr>
          <w:i/>
          <w:iCs/>
        </w:rPr>
        <w:fldChar w:fldCharType="end"/>
      </w:r>
      <w:r w:rsidR="0024401C">
        <w:t>)</w:t>
      </w:r>
      <w:r>
        <w:t xml:space="preserve"> are comparatively milder than those of penetrating surgeries. The intact TDM provides a natural resistance barrier, counteracting rapid pressure drops, resulting in lower rates of hypotony and minimizing the risk of infections. E</w:t>
      </w:r>
      <w:r w:rsidR="001861FE">
        <w:t xml:space="preserve">arly and late </w:t>
      </w:r>
      <w:r>
        <w:t xml:space="preserve">postoperative </w:t>
      </w:r>
      <w:r w:rsidR="001861FE">
        <w:t xml:space="preserve">complications </w:t>
      </w:r>
      <w:r w:rsidR="00BD2196">
        <w:t>are</w:t>
      </w:r>
      <w:r>
        <w:t xml:space="preserve"> primarily linked to the </w:t>
      </w:r>
      <w:r w:rsidR="001861FE">
        <w:t xml:space="preserve">surgical manipulation of Schlemm’s canal and the ongoing wound-healing response at the intrascleral level </w:t>
      </w:r>
      <w:r w:rsidR="00886E7E">
        <w:fldChar w:fldCharType="begin"/>
      </w:r>
      <w:r w:rsidR="009E19C9">
        <w:instrText xml:space="preserve"> ADDIN ZOTERO_ITEM CSL_CITATION {"citationID":"8bbGQ8XX","properties":{"formattedCitation":"(Brusini et al., 2016; Khairy et al., 2006; Mercieca et al., 2025)","plainCitation":"(Brusini et al., 2016; Khairy et al., 2006; Mercieca et al., 2025)","noteIndex":0},"citationItems":[{"id":1703,"uris":["http://zotero.org/users/15573016/items/HUWDT2SP"],"itemData":{"id":1703,"type":"article-journal","abstract":"Purpose:\n              To present the mid-term results of a prospective multicenter study on canaloplasty surgery in chronic open-angle glaucoma.\n            \n            \n              Materials and Methods:\n              A total of 218 eyes from 197 patients with open-angle glaucoma under maximum tolerated medical therapy underwent canaloplasty within a time period of 42 months in 3 different Italian eye centers. All patients underwent a complete ophthalmic examination every 6 months. The follow-up ranged from 3 to 42 months.\n            \n            \n              Results:\n              \n                The entire procedure according to standard protocol could not be performed in 20 eyes (9.2%). A total of 198 eyes from 178 patients with a mean follow-up of 23.1±10.6 months were taken into consideration. The preoperative mean intraocular pressure (IOP) was 28.4±7.5 mm Hg. The mean IOP at the 2-year follow-up was 15.9±4.7 mm Hg (range, 6 to 40 mm Hg; paired\n                t\n                test;\n                P\n                =0.0001), with a mean reduction from baseline of 44% (range, 11.1% to 82.8%). After 2 years of follow-up, a qualified success rate based on postoperative IOP≤21, ≤18, and ≤16 mm Hg was obtained in 82 (92.1%), 75 (84.3%), and 61 (68.5%) eyes, respectively; a complete success for an IOP≤21, ≤18, and ≤16 mm Hg was obtained in 63 (70.8%), 60 (67.4%), and 53 (59.5%) eyes, respectively. The number of medications used preoperatively and at the 2-year follow-up was 3.2±0.9 and 1.1±1.3, respectively. The most frequently seen complications included: hyphema in 47 eyes (23.7%), Descemet membrane detachment in 11 eyes (5.5%), and IOP spikes &gt;10 mm Hg in 12 cases (6.1%).\n              \n            \n            \n              Conclusions:\n              Canaloplasty is a quite difficult surgical technique; however, mid-term results are promising. Complications can sometimes occur, but are seldom serious. The main advantage of this promising bleb-less procedure is that physiological humor aqueous outflow is restored.","container-title":"Journal of Glaucoma","DOI":"10.1097/IJG.0000000000000103","ISSN":"1057-0829","issue":"5","language":"en","page":"403-407","source":"DOI.org (Crossref)","title":"Canaloplasty in Open-angle Glaucoma: Mid-term Results From a Multicenter Study","title-short":"Canaloplasty in Open-angle Glaucoma","URL":"https://journals.lww.com/00061198-201605000-00001","volume":"25","author":[{"family":"Brusini","given":"Paolo"},{"family":"Caramello","given":"Guido"},{"family":"Benedetti","given":"Stefano"},{"family":"Tosoni","given":"Claudia"}],"accessed":{"date-parts":[["2025",7,1]]},"issued":{"date-parts":[["2016",5]]},"citation-key":"brusini2016"}},{"id":821,"uris":["http://zotero.org/users/15573016/items/GRHQZITX"],"itemData":{"id":821,"type":"article-journal","abstract":"AIM: To study the long-term outcome of deep sclerectomy in patients with open angle glaucoma.\nMETHODS: Prospective consecutive series of 43 eyes (38 patients) with medically uncontrolled open-angle glaucoma undergoing deep sclerectomy. All patients underwent clinical assessment before and after surgery at day 7 and at months 1, 3, 6, 12, 18, 24, 36. Surgical success was considered if the patient's intraocular pressure (IOP) &lt; 22 mmHg and the IOP was lowered by more than 20% without the use of any medication. Kaplan-Meier survival curves were used to evaluate the success rate.\nRESULTS: The mean follow-up time was 28.1 +/- 8.2 months. Mean IOP decreased significantly from a preoperative value of 24.6 +/- 5.5 mmHg to a postoperative value of 18.5 +/- 4.6 mmHg at 36 months (P &lt; 0.001). Microperforation of TDM occurred in three cases (7.0%) and ciliary body prolapse in one case (2.3%) but did not prevent completion of the operation. Postoperatively, hyphaema was detected in one case and shallow anterior chamber in another case and both were treated conservatively. Bleb encapsulation with elevation of IOP occurred in two cases (4.7%) and was treated with 5-fluorouracil subconjunctival injection. Goniopuncture with neodymium : YAG laser was performed in two cases (4.7%). There were no other late complications with the exception of failure of the operation. On the life-table analysis the success rate at 12, 24, and 30 months were 61.4, 36.6, and 18.9%, respectively.\nCONCLUSION: Deep sclerectomy reduced the IOP temporarily while minimising the risk of postoperative complications commonly encountered with standard trabeculectomy. However, after long-term follow-up surgery failed to maintain a low IOP.","container-title":"Eye (London, England)","DOI":"10.1038/sj.eye.6701878","ISSN":"0950-222X","issue":"3","journalAbbreviation":"Eye (Lond)","language":"eng","note":"PMID: 15832183","page":"336-340","source":"PubMed","title":"Control of intraocular pressure after deep sclerectomy","volume":"20","author":[{"family":"Khairy","given":"H. A."},{"family":"Green","given":"F. D."},{"family":"Nassar","given":"M. K."},{"family":"Azuara-Blanco","given":"A."}],"issued":{"date-parts":[["2006",3]]},"citation-key":"khairy2006"}},{"id":1577,"uris":["http://zotero.org/users/15573016/items/GUMWAIWL"],"itemData":{"id":1577,"type":"article-journal","abstract":"Précis:\n              Deep sclerectomy (DS) and canaloplasty provide better intraocular pressure (IOP) control than viscocanalostomy. DS required less glaucoma medications but more interventions to reach the target IOP.\n            \n            \n              Purpose:\n              To compare real-world outcomes of 3 non-penetrating glaucoma surgery (NPGS) techniques.\n            \n            \n              Methods:\n              Retrospective, cohort study of consecutive patients undergoing canaloplasty (CP), deep sclerectomy (DS), and viscocanalostomy (VC), across 9 European glaucoma units. Four intraocular pressure (IOP) criteria were used to define success at 2-year follow-up: (A) IOP≤21 mmHg and ≥20% reduction; (B) IOP≤18 mmHg and ≥20% reduction; (C) IOP≤15 mmHg and ≥25% reduction; (D) IOP≤12 mmHg and ≥30% reduction. Secondary outcomes included IOP control, BCVA, number of medications over time, risk factors for failure, complications, and post-operative interventions. Success was distinguished as qualified or complete, if reached with or without antiglaucoma medications, respectively.\n            \n            \n              Results:\n              \n                Six hundred eyes (545 patients) undergoing standalone CP (201 eyes), DS (200 eyes), and VC (199 eyes) were included. Qualified success rates of CP, DS, and VP at 24 months were, respectively: (criterion A) 85.1%, 67.6%, and 64.6%; (criterion B) 85.1%, 66.1%, and 58.6%; (criterion C) 76.6%, 55.5%, and 39.0%; (criterion D) 27.7%, 28.5%, and 22.1%. Success rates were significantly different across the 3 techniques (\n                P\n                =0.04 or below), except for complete success according to criterion A (\n                P\n                =0.07). Mean IOP(±SD) reduced from 25.2 (±6.9), 20.5 (±6.7), and 22.7 (±7.2)mmHg preoperatively to 13.1 (±3.1), 12.9 (±4.5), and 14.7 (±4.6)mmHg at postoperative year 2 in the CP, DS, and VC groups, respectively (\n                P\n                &lt;0.001 between preoperative and postoperative time points for all groups).\n              \n            \n            \n              Conclusions:\n              All 3 NPGS provide sustained IOP reduction, but DS and CP provide better success rates and IOP control. Success rates were low for the most stringent cutoffs, suggesting that other techniques such as trabeculectomy may be indicated when a very low target IOP is demanded.","container-title":"Journal of Glaucoma","DOI":"10.1097/IJG.0000000000002535","ISSN":"1057-0829, 1536-481X","issue":"5","language":"en","page":"349-357","source":"DOI.org (Crossref)","title":"Comparison of Outcomes of Deep Sclerectomy, Canaloplasty, and Viscocanaloplasty: A Multicenter Study","title-short":"Comparison of Outcomes of Deep Sclerectomy, Canaloplasty, and Viscocanaloplasty","URL":"https://journals.lww.com/10.1097/IJG.0000000000002535","volume":"34","author":[{"family":"Mercieca","given":"Karl"},{"family":"Azzopardi","given":"Matthew"},{"family":"Vallabh","given":"Neeru A."},{"family":"Cristian","given":"Cristina"},{"family":"Prokosch","given":"Verena"},{"family":"Dubois","given":"Vincent"},{"family":"Hemmerdinger","given":"Christopher"},{"family":"De Cillà","given":"Stefano"},{"family":"Mathews","given":"Divya"},{"family":"Mermoud","given":"Andre"},{"family":"Grieshaber","given":"Matthias C."},{"family":"Mégevand","given":"Gordana Sunaric"},{"family":"Anand","given":"Nitin"},{"family":"Rabiolo","given":"Alessandro"}],"accessed":{"date-parts":[["2025",6,30]]},"issued":{"date-parts":[["2025",5]]},"citation-key":"mercieca2025"}}],"schema":"https://github.com/citation-style-language/schema/raw/master/csl-citation.json"} </w:instrText>
      </w:r>
      <w:r w:rsidR="00886E7E">
        <w:fldChar w:fldCharType="separate"/>
      </w:r>
      <w:r w:rsidR="009E19C9">
        <w:rPr>
          <w:noProof/>
        </w:rPr>
        <w:t>(Brusini et al., 2016; Khairy et al., 2006; Mercieca et al., 2025)</w:t>
      </w:r>
      <w:r w:rsidR="00886E7E">
        <w:fldChar w:fldCharType="end"/>
      </w:r>
      <w:r w:rsidR="009E19C9">
        <w:t>.</w:t>
      </w:r>
    </w:p>
    <w:p w14:paraId="2E262653" w14:textId="721B01AC" w:rsidR="00603E42" w:rsidRDefault="001861FE" w:rsidP="003A0B82">
      <w:pPr>
        <w:spacing w:line="360" w:lineRule="auto"/>
        <w:ind w:firstLine="720"/>
        <w:jc w:val="both"/>
      </w:pPr>
      <w:r>
        <w:lastRenderedPageBreak/>
        <w:t>Early postoperative complications (≤ 90 days) are typically transient and technique-related. In DS, the most common</w:t>
      </w:r>
      <w:r w:rsidR="00B14B8D">
        <w:t xml:space="preserve"> early postoperative </w:t>
      </w:r>
      <w:r>
        <w:t>event</w:t>
      </w:r>
      <w:r w:rsidR="00B14B8D">
        <w:t>s are</w:t>
      </w:r>
      <w:r>
        <w:t> hyphema (2–7.5%), transient hypotony (≈5%), and microperforation or detachment of the TDM (2.5–7%)</w:t>
      </w:r>
      <w:r w:rsidR="00735D56">
        <w:t xml:space="preserve"> </w:t>
      </w:r>
      <w:bookmarkStart w:id="25" w:name="_Hlk212798908"/>
      <w:r w:rsidR="00D65676">
        <w:fldChar w:fldCharType="begin"/>
      </w:r>
      <w:r w:rsidR="00567D30">
        <w:instrText xml:space="preserve"> ADDIN ZOTERO_ITEM CSL_CITATION {"citationID":"xXuRRoUl","properties":{"formattedCitation":"(Grieshaber et al., 2010; Khairy et al., 2006)","plainCitation":"(Grieshaber et al., 2010; Khairy et al., 2006)","noteIndex":0},"citationItems":[{"id":824,"uris":["http://zotero.org/users/15573016/items/BN4DFXEL"],"itemData":{"id":824,"type":"article-journal","abstract":"BACKGROUND/AIMS: To study the safety and effectiveness of 360° viscodilation and tensioning of Schlemm canal (canaloplasty) in black African patients with primary open-angle glaucoma (POAG).\nMETHODS: Sixty randomly selected eyes of 60 consecutive patients with POAG were included in this prospective study. Canaloplasty comprised 360° catheterisation of Schlemm's canal by means of a flexible microcatheter with distension of the canal by a tensioning 10-0 polypropylene suture.\nRESULTS: The mean preoperative intraocular pressure pressure (IOP) was 45.0 ± 12.1 mm Hg. The mean follow-up time was 30.6 ± 8.4 months. The mean IOP at 12 months was 15.4 ± 5.2 mm Hg (n=54), at 24 months 16.3 ± 4.2 mm Hg (n = 51) and at 36 months 13.3 ± 1.7 mm Hg (n=49). For IOP ≤ 21 mm Hg, complete success rate was 77.5% and qualified success rate was 81.6% at 36 months. Cox regression analysis showed that preoperative IOP (HR = 1.003, 95% CI = 0.927 to 1.085; p = 0.94), age (HR = 1.000, CI = 0.938 to 1.067; p = 0.98) and sex (HR = 3.005, CI=0.329 to 27.448; p=0.33) were all not significant predictors of IOP reduction to ≤ 21 mm Hg. Complication rate was low (Descemet's detachment n=2, elevated IOP n = 1, false passage of the catheter n = 2).\nCONCLUSION: Canaloplasty produced a sustained long-term reduction of IOP in black Africans with POAG independent of preoperative IOP. As a bleb-independent procedure, canaloplasty may be a true alternative to classic filtering surgery, in particular in patients with enhanced wound healing and scar formation.","container-title":"The British Journal of Ophthalmology","DOI":"10.1136/bjo.2009.163170","ISSN":"1468-2079","issue":"11","journalAbbreviation":"Br J Ophthalmol","language":"eng","note":"PMID: 20962352","page":"1478-1482","source":"PubMed","title":"Canaloplasty for primary open-angle glaucoma: long-term outcome","title-short":"Canaloplasty for primary open-angle glaucoma","volume":"94","author":[{"family":"Grieshaber","given":"Matthias C."},{"family":"Pienaar","given":"Ané"},{"family":"Olivier","given":"Jan"},{"family":"Stegmann","given":"Robert"}],"issued":{"date-parts":[["2010",11]]},"citation-key":"grieshaber2010"}},{"id":821,"uris":["http://zotero.org/users/15573016/items/GRHQZITX"],"itemData":{"id":821,"type":"article-journal","abstract":"AIM: To study the long-term outcome of deep sclerectomy in patients with open angle glaucoma.\nMETHODS: Prospective consecutive series of 43 eyes (38 patients) with medically uncontrolled open-angle glaucoma undergoing deep sclerectomy. All patients underwent clinical assessment before and after surgery at day 7 and at months 1, 3, 6, 12, 18, 24, 36. Surgical success was considered if the patient's intraocular pressure (IOP) &lt; 22 mmHg and the IOP was lowered by more than 20% without the use of any medication. Kaplan-Meier survival curves were used to evaluate the success rate.\nRESULTS: The mean follow-up time was 28.1 +/- 8.2 months. Mean IOP decreased significantly from a preoperative value of 24.6 +/- 5.5 mmHg to a postoperative value of 18.5 +/- 4.6 mmHg at 36 months (P &lt; 0.001). Microperforation of TDM occurred in three cases (7.0%) and ciliary body prolapse in one case (2.3%) but did not prevent completion of the operation. Postoperatively, hyphaema was detected in one case and shallow anterior chamber in another case and both were treated conservatively. Bleb encapsulation with elevation of IOP occurred in two cases (4.7%) and was treated with 5-fluorouracil subconjunctival injection. Goniopuncture with neodymium : YAG laser was performed in two cases (4.7%). There were no other late complications with the exception of failure of the operation. On the life-table analysis the success rate at 12, 24, and 30 months were 61.4, 36.6, and 18.9%, respectively.\nCONCLUSION: Deep sclerectomy reduced the IOP temporarily while minimising the risk of postoperative complications commonly encountered with standard trabeculectomy. However, after long-term follow-up surgery failed to maintain a low IOP.","container-title":"Eye (London, England)","DOI":"10.1038/sj.eye.6701878","ISSN":"0950-222X","issue":"3","journalAbbreviation":"Eye (Lond)","language":"eng","note":"PMID: 15832183","page":"336-340","source":"PubMed","title":"Control of intraocular pressure after deep sclerectomy","volume":"20","author":[{"family":"Khairy","given":"H. A."},{"family":"Green","given":"F. D."},{"family":"Nassar","given":"M. K."},{"family":"Azuara-Blanco","given":"A."}],"issued":{"date-parts":[["2006",3]]},"citation-key":"khairy2006"}}],"schema":"https://github.com/citation-style-language/schema/raw/master/csl-citation.json"} </w:instrText>
      </w:r>
      <w:r w:rsidR="00D65676">
        <w:fldChar w:fldCharType="separate"/>
      </w:r>
      <w:r w:rsidR="00567D30">
        <w:rPr>
          <w:noProof/>
        </w:rPr>
        <w:t>(Grieshaber et al., 2010; Khairy et al., 2006)</w:t>
      </w:r>
      <w:r w:rsidR="00D65676">
        <w:fldChar w:fldCharType="end"/>
      </w:r>
      <w:r w:rsidR="00567D30">
        <w:t>.</w:t>
      </w:r>
      <w:r>
        <w:t xml:space="preserve"> </w:t>
      </w:r>
      <w:bookmarkEnd w:id="25"/>
      <w:r>
        <w:t xml:space="preserve">Microperforation </w:t>
      </w:r>
      <w:r w:rsidR="00B14B8D">
        <w:t>describes the creation of a shunt through the TDM</w:t>
      </w:r>
      <w:r>
        <w:t xml:space="preserve"> into the anterior chamber during dissection</w:t>
      </w:r>
      <w:r w:rsidR="00B14B8D">
        <w:t xml:space="preserve">. This </w:t>
      </w:r>
      <w:r>
        <w:t xml:space="preserve">temporarily </w:t>
      </w:r>
      <w:r w:rsidR="00B14B8D">
        <w:t>converts</w:t>
      </w:r>
      <w:r>
        <w:t xml:space="preserve"> the </w:t>
      </w:r>
      <w:r w:rsidR="00B14B8D">
        <w:t>non-penetrating approach</w:t>
      </w:r>
      <w:r>
        <w:t xml:space="preserve"> into a partial</w:t>
      </w:r>
      <w:r w:rsidR="00603E42">
        <w:t>ly</w:t>
      </w:r>
      <w:r>
        <w:t xml:space="preserve"> penetrating procedure. Such defects</w:t>
      </w:r>
      <w:r w:rsidR="00B14B8D">
        <w:t>, as they are minor,</w:t>
      </w:r>
      <w:r>
        <w:t xml:space="preserve"> generally </w:t>
      </w:r>
      <w:r w:rsidR="00BD2196">
        <w:t>close</w:t>
      </w:r>
      <w:r>
        <w:t xml:space="preserve"> spontaneously</w:t>
      </w:r>
      <w:r w:rsidR="00B14B8D">
        <w:t>.</w:t>
      </w:r>
      <w:r>
        <w:t xml:space="preserve"> </w:t>
      </w:r>
      <w:r w:rsidR="00B14B8D">
        <w:t xml:space="preserve">However, due to the </w:t>
      </w:r>
      <w:r w:rsidR="00B037BE">
        <w:t>TDM’s</w:t>
      </w:r>
      <w:r w:rsidR="00B14B8D">
        <w:t xml:space="preserve"> lack of integrity, uncontrolled filtration can occur (similar to penetrating surgeries), resulting in</w:t>
      </w:r>
      <w:r>
        <w:t xml:space="preserve"> short-term shallowing of the anterior chamber</w:t>
      </w:r>
      <w:r w:rsidR="00AF101A">
        <w:t xml:space="preserve"> </w:t>
      </w:r>
      <w:r w:rsidR="00567D30">
        <w:fldChar w:fldCharType="begin"/>
      </w:r>
      <w:r w:rsidR="00567D30">
        <w:instrText xml:space="preserve"> ADDIN ZOTERO_ITEM CSL_CITATION {"citationID":"tKomU8Uf","properties":{"formattedCitation":"(Grieshaber et al., 2010; Khairy et al., 2006)","plainCitation":"(Grieshaber et al., 2010; Khairy et al., 2006)","noteIndex":0},"citationItems":[{"id":824,"uris":["http://zotero.org/users/15573016/items/BN4DFXEL"],"itemData":{"id":824,"type":"article-journal","abstract":"BACKGROUND/AIMS: To study the safety and effectiveness of 360° viscodilation and tensioning of Schlemm canal (canaloplasty) in black African patients with primary open-angle glaucoma (POAG).\nMETHODS: Sixty randomly selected eyes of 60 consecutive patients with POAG were included in this prospective study. Canaloplasty comprised 360° catheterisation of Schlemm's canal by means of a flexible microcatheter with distension of the canal by a tensioning 10-0 polypropylene suture.\nRESULTS: The mean preoperative intraocular pressure pressure (IOP) was 45.0 ± 12.1 mm Hg. The mean follow-up time was 30.6 ± 8.4 months. The mean IOP at 12 months was 15.4 ± 5.2 mm Hg (n=54), at 24 months 16.3 ± 4.2 mm Hg (n = 51) and at 36 months 13.3 ± 1.7 mm Hg (n=49). For IOP ≤ 21 mm Hg, complete success rate was 77.5% and qualified success rate was 81.6% at 36 months. Cox regression analysis showed that preoperative IOP (HR = 1.003, 95% CI = 0.927 to 1.085; p = 0.94), age (HR = 1.000, CI = 0.938 to 1.067; p = 0.98) and sex (HR = 3.005, CI=0.329 to 27.448; p=0.33) were all not significant predictors of IOP reduction to ≤ 21 mm Hg. Complication rate was low (Descemet's detachment n=2, elevated IOP n = 1, false passage of the catheter n = 2).\nCONCLUSION: Canaloplasty produced a sustained long-term reduction of IOP in black Africans with POAG independent of preoperative IOP. As a bleb-independent procedure, canaloplasty may be a true alternative to classic filtering surgery, in particular in patients with enhanced wound healing and scar formation.","container-title":"The British Journal of Ophthalmology","DOI":"10.1136/bjo.2009.163170","ISSN":"1468-2079","issue":"11","journalAbbreviation":"Br J Ophthalmol","language":"eng","note":"PMID: 20962352","page":"1478-1482","source":"PubMed","title":"Canaloplasty for primary open-angle glaucoma: long-term outcome","title-short":"Canaloplasty for primary open-angle glaucoma","volume":"94","author":[{"family":"Grieshaber","given":"Matthias C."},{"family":"Pienaar","given":"Ané"},{"family":"Olivier","given":"Jan"},{"family":"Stegmann","given":"Robert"}],"issued":{"date-parts":[["2010",11]]},"citation-key":"grieshaber2010"}},{"id":821,"uris":["http://zotero.org/users/15573016/items/GRHQZITX"],"itemData":{"id":821,"type":"article-journal","abstract":"AIM: To study the long-term outcome of deep sclerectomy in patients with open angle glaucoma.\nMETHODS: Prospective consecutive series of 43 eyes (38 patients) with medically uncontrolled open-angle glaucoma undergoing deep sclerectomy. All patients underwent clinical assessment before and after surgery at day 7 and at months 1, 3, 6, 12, 18, 24, 36. Surgical success was considered if the patient's intraocular pressure (IOP) &lt; 22 mmHg and the IOP was lowered by more than 20% without the use of any medication. Kaplan-Meier survival curves were used to evaluate the success rate.\nRESULTS: The mean follow-up time was 28.1 +/- 8.2 months. Mean IOP decreased significantly from a preoperative value of 24.6 +/- 5.5 mmHg to a postoperative value of 18.5 +/- 4.6 mmHg at 36 months (P &lt; 0.001). Microperforation of TDM occurred in three cases (7.0%) and ciliary body prolapse in one case (2.3%) but did not prevent completion of the operation. Postoperatively, hyphaema was detected in one case and shallow anterior chamber in another case and both were treated conservatively. Bleb encapsulation with elevation of IOP occurred in two cases (4.7%) and was treated with 5-fluorouracil subconjunctival injection. Goniopuncture with neodymium : YAG laser was performed in two cases (4.7%). There were no other late complications with the exception of failure of the operation. On the life-table analysis the success rate at 12, 24, and 30 months were 61.4, 36.6, and 18.9%, respectively.\nCONCLUSION: Deep sclerectomy reduced the IOP temporarily while minimising the risk of postoperative complications commonly encountered with standard trabeculectomy. However, after long-term follow-up surgery failed to maintain a low IOP.","container-title":"Eye (London, England)","DOI":"10.1038/sj.eye.6701878","ISSN":"0950-222X","issue":"3","journalAbbreviation":"Eye (Lond)","language":"eng","note":"PMID: 15832183","page":"336-340","source":"PubMed","title":"Control of intraocular pressure after deep sclerectomy","volume":"20","author":[{"family":"Khairy","given":"H. A."},{"family":"Green","given":"F. D."},{"family":"Nassar","given":"M. K."},{"family":"Azuara-Blanco","given":"A."}],"issued":{"date-parts":[["2006",3]]},"citation-key":"khairy2006"}}],"schema":"https://github.com/citation-style-language/schema/raw/master/csl-citation.json"} </w:instrText>
      </w:r>
      <w:r w:rsidR="00567D30">
        <w:fldChar w:fldCharType="separate"/>
      </w:r>
      <w:r w:rsidR="00567D30">
        <w:rPr>
          <w:noProof/>
        </w:rPr>
        <w:t>(Grieshaber et al., 2010; Khairy et al., 2006)</w:t>
      </w:r>
      <w:r w:rsidR="00567D30">
        <w:fldChar w:fldCharType="end"/>
      </w:r>
      <w:r>
        <w:t xml:space="preserve">. </w:t>
      </w:r>
      <w:r w:rsidR="00603E42">
        <w:t>Hyph</w:t>
      </w:r>
      <w:r w:rsidR="00BD2196">
        <w:t>e</w:t>
      </w:r>
      <w:r w:rsidR="00603E42">
        <w:t>ma (2–7.5%) is assumed to result from reflux bleeding from Schlemm’s canal or collector channels, which are exposed during the surgery. This complication is self-limited and will spontaneously resolve within a few days. T</w:t>
      </w:r>
      <w:r>
        <w:t xml:space="preserve">ransient hypotony occurs when early aqueous percolation exceeds episcleral venous outflow before </w:t>
      </w:r>
      <w:r w:rsidR="00603E42">
        <w:t xml:space="preserve">the </w:t>
      </w:r>
      <w:r>
        <w:t xml:space="preserve">tissue resistance equilibrates. In CP, hyphema is the </w:t>
      </w:r>
      <w:r w:rsidR="00603E42">
        <w:t>most common reported</w:t>
      </w:r>
      <w:r>
        <w:t xml:space="preserve"> early complication, affecting 10–24% of </w:t>
      </w:r>
      <w:r w:rsidR="00EC1EEA">
        <w:t>cases</w:t>
      </w:r>
      <w:r>
        <w:t xml:space="preserve"> </w:t>
      </w:r>
      <w:bookmarkStart w:id="26" w:name="_Hlk212798975"/>
      <w:r w:rsidR="00567D30">
        <w:fldChar w:fldCharType="begin"/>
      </w:r>
      <w:r w:rsidR="00567D30">
        <w:instrText xml:space="preserve"> ADDIN ZOTERO_ITEM CSL_CITATION {"citationID":"LmWN2LDI","properties":{"formattedCitation":"(Brusini et al., 2016; Mercieca et al., 2025)","plainCitation":"(Brusini et al., 2016; Mercieca et al., 2025)","noteIndex":0},"citationItems":[{"id":1703,"uris":["http://zotero.org/users/15573016/items/HUWDT2SP"],"itemData":{"id":1703,"type":"article-journal","abstract":"Purpose:\n              To present the mid-term results of a prospective multicenter study on canaloplasty surgery in chronic open-angle glaucoma.\n            \n            \n              Materials and Methods:\n              A total of 218 eyes from 197 patients with open-angle glaucoma under maximum tolerated medical therapy underwent canaloplasty within a time period of 42 months in 3 different Italian eye centers. All patients underwent a complete ophthalmic examination every 6 months. The follow-up ranged from 3 to 42 months.\n            \n            \n              Results:\n              \n                The entire procedure according to standard protocol could not be performed in 20 eyes (9.2%). A total of 198 eyes from 178 patients with a mean follow-up of 23.1±10.6 months were taken into consideration. The preoperative mean intraocular pressure (IOP) was 28.4±7.5 mm Hg. The mean IOP at the 2-year follow-up was 15.9±4.7 mm Hg (range, 6 to 40 mm Hg; paired\n                t\n                test;\n                P\n                =0.0001), with a mean reduction from baseline of 44% (range, 11.1% to 82.8%). After 2 years of follow-up, a qualified success rate based on postoperative IOP≤21, ≤18, and ≤16 mm Hg was obtained in 82 (92.1%), 75 (84.3%), and 61 (68.5%) eyes, respectively; a complete success for an IOP≤21, ≤18, and ≤16 mm Hg was obtained in 63 (70.8%), 60 (67.4%), and 53 (59.5%) eyes, respectively. The number of medications used preoperatively and at the 2-year follow-up was 3.2±0.9 and 1.1±1.3, respectively. The most frequently seen complications included: hyphema in 47 eyes (23.7%), Descemet membrane detachment in 11 eyes (5.5%), and IOP spikes &gt;10 mm Hg in 12 cases (6.1%).\n              \n            \n            \n              Conclusions:\n              Canaloplasty is a quite difficult surgical technique; however, mid-term results are promising. Complications can sometimes occur, but are seldom serious. The main advantage of this promising bleb-less procedure is that physiological humor aqueous outflow is restored.","container-title":"Journal of Glaucoma","DOI":"10.1097/IJG.0000000000000103","ISSN":"1057-0829","issue":"5","language":"en","page":"403-407","source":"DOI.org (Crossref)","title":"Canaloplasty in Open-angle Glaucoma: Mid-term Results From a Multicenter Study","title-short":"Canaloplasty in Open-angle Glaucoma","URL":"https://journals.lww.com/00061198-201605000-00001","volume":"25","author":[{"family":"Brusini","given":"Paolo"},{"family":"Caramello","given":"Guido"},{"family":"Benedetti","given":"Stefano"},{"family":"Tosoni","given":"Claudia"}],"accessed":{"date-parts":[["2025",7,1]]},"issued":{"date-parts":[["2016",5]]},"citation-key":"brusini2016"}},{"id":1577,"uris":["http://zotero.org/users/15573016/items/GUMWAIWL"],"itemData":{"id":1577,"type":"article-journal","abstract":"Précis:\n              Deep sclerectomy (DS) and canaloplasty provide better intraocular pressure (IOP) control than viscocanalostomy. DS required less glaucoma medications but more interventions to reach the target IOP.\n            \n            \n              Purpose:\n              To compare real-world outcomes of 3 non-penetrating glaucoma surgery (NPGS) techniques.\n            \n            \n              Methods:\n              Retrospective, cohort study of consecutive patients undergoing canaloplasty (CP), deep sclerectomy (DS), and viscocanalostomy (VC), across 9 European glaucoma units. Four intraocular pressure (IOP) criteria were used to define success at 2-year follow-up: (A) IOP≤21 mmHg and ≥20% reduction; (B) IOP≤18 mmHg and ≥20% reduction; (C) IOP≤15 mmHg and ≥25% reduction; (D) IOP≤12 mmHg and ≥30% reduction. Secondary outcomes included IOP control, BCVA, number of medications over time, risk factors for failure, complications, and post-operative interventions. Success was distinguished as qualified or complete, if reached with or without antiglaucoma medications, respectively.\n            \n            \n              Results:\n              \n                Six hundred eyes (545 patients) undergoing standalone CP (201 eyes), DS (200 eyes), and VC (199 eyes) were included. Qualified success rates of CP, DS, and VP at 24 months were, respectively: (criterion A) 85.1%, 67.6%, and 64.6%; (criterion B) 85.1%, 66.1%, and 58.6%; (criterion C) 76.6%, 55.5%, and 39.0%; (criterion D) 27.7%, 28.5%, and 22.1%. Success rates were significantly different across the 3 techniques (\n                P\n                =0.04 or below), except for complete success according to criterion A (\n                P\n                =0.07). Mean IOP(±SD) reduced from 25.2 (±6.9), 20.5 (±6.7), and 22.7 (±7.2)mmHg preoperatively to 13.1 (±3.1), 12.9 (±4.5), and 14.7 (±4.6)mmHg at postoperative year 2 in the CP, DS, and VC groups, respectively (\n                P\n                &lt;0.001 between preoperative and postoperative time points for all groups).\n              \n            \n            \n              Conclusions:\n              All 3 NPGS provide sustained IOP reduction, but DS and CP provide better success rates and IOP control. Success rates were low for the most stringent cutoffs, suggesting that other techniques such as trabeculectomy may be indicated when a very low target IOP is demanded.","container-title":"Journal of Glaucoma","DOI":"10.1097/IJG.0000000000002535","ISSN":"1057-0829, 1536-481X","issue":"5","language":"en","page":"349-357","source":"DOI.org (Crossref)","title":"Comparison of Outcomes of Deep Sclerectomy, Canaloplasty, and Viscocanaloplasty: A Multicenter Study","title-short":"Comparison of Outcomes of Deep Sclerectomy, Canaloplasty, and Viscocanaloplasty","URL":"https://journals.lww.com/10.1097/IJG.0000000000002535","volume":"34","author":[{"family":"Mercieca","given":"Karl"},{"family":"Azzopardi","given":"Matthew"},{"family":"Vallabh","given":"Neeru A."},{"family":"Cristian","given":"Cristina"},{"family":"Prokosch","given":"Verena"},{"family":"Dubois","given":"Vincent"},{"family":"Hemmerdinger","given":"Christopher"},{"family":"De Cillà","given":"Stefano"},{"family":"Mathews","given":"Divya"},{"family":"Mermoud","given":"Andre"},{"family":"Grieshaber","given":"Matthias C."},{"family":"Mégevand","given":"Gordana Sunaric"},{"family":"Anand","given":"Nitin"},{"family":"Rabiolo","given":"Alessandro"}],"accessed":{"date-parts":[["2025",6,30]]},"issued":{"date-parts":[["2025",5]]},"citation-key":"mercieca2025"}}],"schema":"https://github.com/citation-style-language/schema/raw/master/csl-citation.json"} </w:instrText>
      </w:r>
      <w:r w:rsidR="00567D30">
        <w:fldChar w:fldCharType="separate"/>
      </w:r>
      <w:r w:rsidR="00567D30">
        <w:rPr>
          <w:noProof/>
        </w:rPr>
        <w:t>(Brusini et al., 2016; Mercieca et al., 2025)</w:t>
      </w:r>
      <w:r w:rsidR="00567D30">
        <w:fldChar w:fldCharType="end"/>
      </w:r>
      <w:bookmarkEnd w:id="26"/>
      <w:r>
        <w:t xml:space="preserve">. It </w:t>
      </w:r>
      <w:r w:rsidR="00EC1EEA">
        <w:t>is</w:t>
      </w:r>
      <w:r w:rsidR="00603E42">
        <w:t xml:space="preserve"> caused by</w:t>
      </w:r>
      <w:r>
        <w:t xml:space="preserve"> viscodilation or microcatheter-related injury to the </w:t>
      </w:r>
      <w:r w:rsidR="00603E42">
        <w:t xml:space="preserve">Schlemm’s </w:t>
      </w:r>
      <w:r>
        <w:t>canal wall</w:t>
      </w:r>
      <w:r w:rsidR="00603E42">
        <w:t>. It is usually</w:t>
      </w:r>
      <w:r>
        <w:t xml:space="preserve"> self-limited and rarely affects vision. Microperforation (3–5.5%) and transient hypotony (≈4–5%) </w:t>
      </w:r>
      <w:r w:rsidR="00603E42">
        <w:t xml:space="preserve">can </w:t>
      </w:r>
      <w:r>
        <w:t>also</w:t>
      </w:r>
      <w:r w:rsidR="00603E42">
        <w:t xml:space="preserve"> be</w:t>
      </w:r>
      <w:r>
        <w:t xml:space="preserve"> observed</w:t>
      </w:r>
      <w:r w:rsidR="00603E42">
        <w:t xml:space="preserve"> after CP</w:t>
      </w:r>
      <w:r w:rsidR="00EC1EEA">
        <w:t>;</w:t>
      </w:r>
      <w:r>
        <w:t xml:space="preserve"> both</w:t>
      </w:r>
      <w:r w:rsidR="00603E42">
        <w:t xml:space="preserve"> complications</w:t>
      </w:r>
      <w:r>
        <w:t xml:space="preserve"> </w:t>
      </w:r>
      <w:r w:rsidR="00603E42">
        <w:t>resolve</w:t>
      </w:r>
      <w:r>
        <w:t xml:space="preserve"> with conservative management</w:t>
      </w:r>
      <w:r w:rsidR="00AF101A">
        <w:t xml:space="preserve"> </w:t>
      </w:r>
      <w:r w:rsidR="00567D30">
        <w:fldChar w:fldCharType="begin"/>
      </w:r>
      <w:r w:rsidR="00567D30">
        <w:instrText xml:space="preserve"> ADDIN ZOTERO_ITEM CSL_CITATION {"citationID":"oSM9O1LO","properties":{"formattedCitation":"(Brusini et al., 2016; Mercieca et al., 2025)","plainCitation":"(Brusini et al., 2016; Mercieca et al., 2025)","noteIndex":0},"citationItems":[{"id":1703,"uris":["http://zotero.org/users/15573016/items/HUWDT2SP"],"itemData":{"id":1703,"type":"article-journal","abstract":"Purpose:\n              To present the mid-term results of a prospective multicenter study on canaloplasty surgery in chronic open-angle glaucoma.\n            \n            \n              Materials and Methods:\n              A total of 218 eyes from 197 patients with open-angle glaucoma under maximum tolerated medical therapy underwent canaloplasty within a time period of 42 months in 3 different Italian eye centers. All patients underwent a complete ophthalmic examination every 6 months. The follow-up ranged from 3 to 42 months.\n            \n            \n              Results:\n              \n                The entire procedure according to standard protocol could not be performed in 20 eyes (9.2%). A total of 198 eyes from 178 patients with a mean follow-up of 23.1±10.6 months were taken into consideration. The preoperative mean intraocular pressure (IOP) was 28.4±7.5 mm Hg. The mean IOP at the 2-year follow-up was 15.9±4.7 mm Hg (range, 6 to 40 mm Hg; paired\n                t\n                test;\n                P\n                =0.0001), with a mean reduction from baseline of 44% (range, 11.1% to 82.8%). After 2 years of follow-up, a qualified success rate based on postoperative IOP≤21, ≤18, and ≤16 mm Hg was obtained in 82 (92.1%), 75 (84.3%), and 61 (68.5%) eyes, respectively; a complete success for an IOP≤21, ≤18, and ≤16 mm Hg was obtained in 63 (70.8%), 60 (67.4%), and 53 (59.5%) eyes, respectively. The number of medications used preoperatively and at the 2-year follow-up was 3.2±0.9 and 1.1±1.3, respectively. The most frequently seen complications included: hyphema in 47 eyes (23.7%), Descemet membrane detachment in 11 eyes (5.5%), and IOP spikes &gt;10 mm Hg in 12 cases (6.1%).\n              \n            \n            \n              Conclusions:\n              Canaloplasty is a quite difficult surgical technique; however, mid-term results are promising. Complications can sometimes occur, but are seldom serious. The main advantage of this promising bleb-less procedure is that physiological humor aqueous outflow is restored.","container-title":"Journal of Glaucoma","DOI":"10.1097/IJG.0000000000000103","ISSN":"1057-0829","issue":"5","language":"en","page":"403-407","source":"DOI.org (Crossref)","title":"Canaloplasty in Open-angle Glaucoma: Mid-term Results From a Multicenter Study","title-short":"Canaloplasty in Open-angle Glaucoma","URL":"https://journals.lww.com/00061198-201605000-00001","volume":"25","author":[{"family":"Brusini","given":"Paolo"},{"family":"Caramello","given":"Guido"},{"family":"Benedetti","given":"Stefano"},{"family":"Tosoni","given":"Claudia"}],"accessed":{"date-parts":[["2025",7,1]]},"issued":{"date-parts":[["2016",5]]},"citation-key":"brusini2016"}},{"id":1577,"uris":["http://zotero.org/users/15573016/items/GUMWAIWL"],"itemData":{"id":1577,"type":"article-journal","abstract":"Précis:\n              Deep sclerectomy (DS) and canaloplasty provide better intraocular pressure (IOP) control than viscocanalostomy. DS required less glaucoma medications but more interventions to reach the target IOP.\n            \n            \n              Purpose:\n              To compare real-world outcomes of 3 non-penetrating glaucoma surgery (NPGS) techniques.\n            \n            \n              Methods:\n              Retrospective, cohort study of consecutive patients undergoing canaloplasty (CP), deep sclerectomy (DS), and viscocanalostomy (VC), across 9 European glaucoma units. Four intraocular pressure (IOP) criteria were used to define success at 2-year follow-up: (A) IOP≤21 mmHg and ≥20% reduction; (B) IOP≤18 mmHg and ≥20% reduction; (C) IOP≤15 mmHg and ≥25% reduction; (D) IOP≤12 mmHg and ≥30% reduction. Secondary outcomes included IOP control, BCVA, number of medications over time, risk factors for failure, complications, and post-operative interventions. Success was distinguished as qualified or complete, if reached with or without antiglaucoma medications, respectively.\n            \n            \n              Results:\n              \n                Six hundred eyes (545 patients) undergoing standalone CP (201 eyes), DS (200 eyes), and VC (199 eyes) were included. Qualified success rates of CP, DS, and VP at 24 months were, respectively: (criterion A) 85.1%, 67.6%, and 64.6%; (criterion B) 85.1%, 66.1%, and 58.6%; (criterion C) 76.6%, 55.5%, and 39.0%; (criterion D) 27.7%, 28.5%, and 22.1%. Success rates were significantly different across the 3 techniques (\n                P\n                =0.04 or below), except for complete success according to criterion A (\n                P\n                =0.07). Mean IOP(±SD) reduced from 25.2 (±6.9), 20.5 (±6.7), and 22.7 (±7.2)mmHg preoperatively to 13.1 (±3.1), 12.9 (±4.5), and 14.7 (±4.6)mmHg at postoperative year 2 in the CP, DS, and VC groups, respectively (\n                P\n                &lt;0.001 between preoperative and postoperative time points for all groups).\n              \n            \n            \n              Conclusions:\n              All 3 NPGS provide sustained IOP reduction, but DS and CP provide better success rates and IOP control. Success rates were low for the most stringent cutoffs, suggesting that other techniques such as trabeculectomy may be indicated when a very low target IOP is demanded.","container-title":"Journal of Glaucoma","DOI":"10.1097/IJG.0000000000002535","ISSN":"1057-0829, 1536-481X","issue":"5","language":"en","page":"349-357","source":"DOI.org (Crossref)","title":"Comparison of Outcomes of Deep Sclerectomy, Canaloplasty, and Viscocanaloplasty: A Multicenter Study","title-short":"Comparison of Outcomes of Deep Sclerectomy, Canaloplasty, and Viscocanaloplasty","URL":"https://journals.lww.com/10.1097/IJG.0000000000002535","volume":"34","author":[{"family":"Mercieca","given":"Karl"},{"family":"Azzopardi","given":"Matthew"},{"family":"Vallabh","given":"Neeru A."},{"family":"Cristian","given":"Cristina"},{"family":"Prokosch","given":"Verena"},{"family":"Dubois","given":"Vincent"},{"family":"Hemmerdinger","given":"Christopher"},{"family":"De Cillà","given":"Stefano"},{"family":"Mathews","given":"Divya"},{"family":"Mermoud","given":"Andre"},{"family":"Grieshaber","given":"Matthias C."},{"family":"Mégevand","given":"Gordana Sunaric"},{"family":"Anand","given":"Nitin"},{"family":"Rabiolo","given":"Alessandro"}],"accessed":{"date-parts":[["2025",6,30]]},"issued":{"date-parts":[["2025",5]]},"citation-key":"mercieca2025"}}],"schema":"https://github.com/citation-style-language/schema/raw/master/csl-citation.json"} </w:instrText>
      </w:r>
      <w:r w:rsidR="00567D30">
        <w:fldChar w:fldCharType="separate"/>
      </w:r>
      <w:r w:rsidR="00567D30">
        <w:rPr>
          <w:noProof/>
        </w:rPr>
        <w:t>(Brusini et al., 2016; Mercieca et al., 2025)</w:t>
      </w:r>
      <w:r w:rsidR="00567D30">
        <w:fldChar w:fldCharType="end"/>
      </w:r>
      <w:r w:rsidR="00567D30">
        <w:t>.</w:t>
      </w:r>
    </w:p>
    <w:p w14:paraId="098AA191" w14:textId="77777777" w:rsidR="0024401C" w:rsidRDefault="0024401C" w:rsidP="003A0B82">
      <w:pPr>
        <w:spacing w:line="360" w:lineRule="auto"/>
        <w:ind w:firstLine="720"/>
        <w:jc w:val="both"/>
      </w:pPr>
    </w:p>
    <w:p w14:paraId="0F02C31A" w14:textId="4D682339" w:rsidR="00444169" w:rsidRDefault="001861FE" w:rsidP="0024401C">
      <w:pPr>
        <w:spacing w:line="360" w:lineRule="auto"/>
        <w:jc w:val="both"/>
      </w:pPr>
      <w:r>
        <w:t>Late complications (&gt; 90 days) </w:t>
      </w:r>
      <w:r w:rsidR="00EC1EEA">
        <w:t>are associated with</w:t>
      </w:r>
      <w:r>
        <w:t xml:space="preserve"> fibrotic </w:t>
      </w:r>
      <w:r w:rsidR="00EC1EEA">
        <w:t>changes</w:t>
      </w:r>
      <w:r>
        <w:t xml:space="preserve">. </w:t>
      </w:r>
      <w:r w:rsidR="00EC1EEA">
        <w:t>Post DS, laser goniopuncture was performed</w:t>
      </w:r>
      <w:r>
        <w:t xml:space="preserve"> in one-third of cases at one year and </w:t>
      </w:r>
      <w:r w:rsidR="00EC1EEA">
        <w:t xml:space="preserve">in </w:t>
      </w:r>
      <w:r>
        <w:t>up to two-third</w:t>
      </w:r>
      <w:r w:rsidR="00EC1EEA">
        <w:t>s of cases</w:t>
      </w:r>
      <w:r>
        <w:t xml:space="preserve"> by six years</w:t>
      </w:r>
      <w:r w:rsidR="00603E42">
        <w:t xml:space="preserve"> </w:t>
      </w:r>
      <w:bookmarkStart w:id="27" w:name="_Hlk212799022"/>
      <w:r w:rsidR="00567D30">
        <w:fldChar w:fldCharType="begin"/>
      </w:r>
      <w:r w:rsidR="00567D30">
        <w:instrText xml:space="preserve"> ADDIN ZOTERO_ITEM CSL_CITATION {"citationID":"TRA3EIeL","properties":{"formattedCitation":"(Rabiolo et al., 2023)","plainCitation":"(Rabiolo et al., 2023)","noteIndex":0},"citationItems":[{"id":1580,"uris":["http://zotero.org/users/15573016/items/XXBX5ZX4"],"itemData":{"id":1580,"type":"article-journal","abstract":"Aims\n              To report the incidence, risk factors and long-term outcomes of laser goniopuncture (LGP) in patients with previous deep sclerectomy (DS).\n            \n            \n              Methods\n              Retrospective cohort study of 1765 eyes (1385 patients) undergoing DS with or without cataract surgery between 2001 and 2020 in two UK institutions. Kaplan-Meier was used to estimate LGP incidence. DS success after LGP was calculated for criteria A, B, and C defined as intraocular pressure (IOP) of ≤18, ≤15 and ≤12 mm Hg with 20%, 25% and 30% reduction, respectively. Cox regression was used to investigate factors associated with the risk of failure.\n            \n            \n              Results\n              LGP had an estimated incidence of 33.3% (30.9%–35.6%), 56.3% (53.5%–58.9%) and 62.8% (59.7%–65.6%) at 1, 3, 5 years, respectively. Mean (±SD) IOP significantly (p&lt;0.001) decreased from 21.2 (±6.0) mm Hg pre-LGP to 13.8 (±5.2) mm Hg and 12.9 (±4.7) mm Hg at 3 and 5 years post-LGP, respectively. Success rates at 3 and 5 years were, respectively, 40.9% (37.5%–44.6%) and 33.7% (30.3%–37.6%) for criterion A; 27.1% (24.0%–30.5%) and 22.3% (19.3%–25.7%) for criterion B and 13.9% (11.6%–16.7%) and 11.6% (9.5%–14.3%) for criterion C. In all models, higher pre-LGP IOP (p&lt;0.001) and higher pre-LGP medication number (p&lt;0.001) were associated with increased failure, while male gender (p≤0.004), intraoperative mitomycin C (p≤0.031), longer interval between DS and LGP (p≤0.01) with reduced failure.\n            \n            \n              Conclusion\n              Most patients undergoing DS will eventually require LGP. LGP is effective at rescuing eyes with a failing DS. This study identifies several factors associated with LGP outcomes, knowledge of which may help clinicians predict LGP success.","container-title":"British Journal of Ophthalmology","DOI":"10.1136/bjophthalmol-2021-319314","ISSN":"0007-1161, 1468-2079","issue":"1","journalAbbreviation":"Br J Ophthalmol","language":"en","page":"56-61","source":"DOI.org (Crossref)","title":"Laser goniopuncture after deep sclerectomy: incidence, long-term outcomes and risk factors for failure","title-short":"Laser goniopuncture after deep sclerectomy","URL":"https://bjo.bmj.com/lookup/doi/10.1136/bjophthalmol-2021-319314","volume":"107","author":[{"family":"Rabiolo","given":"Alessandro"},{"family":"Leadbetter","given":"Duncan"},{"family":"Kirk","given":"Jonathan"},{"family":"Anand","given":"Nitin"}],"accessed":{"date-parts":[["2025",6,30]]},"issued":{"date-parts":[["2023",1]]},"citation-key":"rabiolo2023"}}],"schema":"https://github.com/citation-style-language/schema/raw/master/csl-citation.json"} </w:instrText>
      </w:r>
      <w:r w:rsidR="00567D30">
        <w:fldChar w:fldCharType="separate"/>
      </w:r>
      <w:r w:rsidR="00567D30">
        <w:rPr>
          <w:noProof/>
        </w:rPr>
        <w:t>(Rabiolo et al., 2023)</w:t>
      </w:r>
      <w:r w:rsidR="00567D30">
        <w:fldChar w:fldCharType="end"/>
      </w:r>
      <w:r w:rsidR="00567D30">
        <w:t>.</w:t>
      </w:r>
      <w:r w:rsidR="00603E42">
        <w:t xml:space="preserve"> Goniopuncture was performed in order to restore filtration through the TDM, which can become less permeable over time due to fibrotic closure.</w:t>
      </w:r>
      <w:r w:rsidR="00567D30">
        <w:t xml:space="preserve"> </w:t>
      </w:r>
      <w:bookmarkEnd w:id="27"/>
      <w:r>
        <w:t xml:space="preserve">While this is technically an intervention rather than a complication, its frequency </w:t>
      </w:r>
      <w:r w:rsidR="00603E42">
        <w:t xml:space="preserve">suggests a </w:t>
      </w:r>
      <w:r>
        <w:t>gradual reduction in membrane permeability. Chronic hypotony is infrequent</w:t>
      </w:r>
      <w:r w:rsidR="006B2D3C">
        <w:t>ly reported after DS</w:t>
      </w:r>
      <w:r>
        <w:t xml:space="preserve">, seen in approximately 13% at five years, with only 5–6% developing sequelae such as choroidal folds or maculopathy </w:t>
      </w:r>
      <w:r w:rsidR="00567D30">
        <w:fldChar w:fldCharType="begin"/>
      </w:r>
      <w:r w:rsidR="00567D30">
        <w:instrText xml:space="preserve"> ADDIN ZOTERO_ITEM CSL_CITATION {"citationID":"t4oJDOk1","properties":{"formattedCitation":"(Rabiolo et al., 2023)","plainCitation":"(Rabiolo et al., 2023)","noteIndex":0},"citationItems":[{"id":1580,"uris":["http://zotero.org/users/15573016/items/XXBX5ZX4"],"itemData":{"id":1580,"type":"article-journal","abstract":"Aims\n              To report the incidence, risk factors and long-term outcomes of laser goniopuncture (LGP) in patients with previous deep sclerectomy (DS).\n            \n            \n              Methods\n              Retrospective cohort study of 1765 eyes (1385 patients) undergoing DS with or without cataract surgery between 2001 and 2020 in two UK institutions. Kaplan-Meier was used to estimate LGP incidence. DS success after LGP was calculated for criteria A, B, and C defined as intraocular pressure (IOP) of ≤18, ≤15 and ≤12 mm Hg with 20%, 25% and 30% reduction, respectively. Cox regression was used to investigate factors associated with the risk of failure.\n            \n            \n              Results\n              LGP had an estimated incidence of 33.3% (30.9%–35.6%), 56.3% (53.5%–58.9%) and 62.8% (59.7%–65.6%) at 1, 3, 5 years, respectively. Mean (±SD) IOP significantly (p&lt;0.001) decreased from 21.2 (±6.0) mm Hg pre-LGP to 13.8 (±5.2) mm Hg and 12.9 (±4.7) mm Hg at 3 and 5 years post-LGP, respectively. Success rates at 3 and 5 years were, respectively, 40.9% (37.5%–44.6%) and 33.7% (30.3%–37.6%) for criterion A; 27.1% (24.0%–30.5%) and 22.3% (19.3%–25.7%) for criterion B and 13.9% (11.6%–16.7%) and 11.6% (9.5%–14.3%) for criterion C. In all models, higher pre-LGP IOP (p&lt;0.001) and higher pre-LGP medication number (p&lt;0.001) were associated with increased failure, while male gender (p≤0.004), intraoperative mitomycin C (p≤0.031), longer interval between DS and LGP (p≤0.01) with reduced failure.\n            \n            \n              Conclusion\n              Most patients undergoing DS will eventually require LGP. LGP is effective at rescuing eyes with a failing DS. This study identifies several factors associated with LGP outcomes, knowledge of which may help clinicians predict LGP success.","container-title":"British Journal of Ophthalmology","DOI":"10.1136/bjophthalmol-2021-319314","ISSN":"0007-1161, 1468-2079","issue":"1","journalAbbreviation":"Br J Ophthalmol","language":"en","page":"56-61","source":"DOI.org (Crossref)","title":"Laser goniopuncture after deep sclerectomy: incidence, long-term outcomes and risk factors for failure","title-short":"Laser goniopuncture after deep sclerectomy","URL":"https://bjo.bmj.com/lookup/doi/10.1136/bjophthalmol-2021-319314","volume":"107","author":[{"family":"Rabiolo","given":"Alessandro"},{"family":"Leadbetter","given":"Duncan"},{"family":"Kirk","given":"Jonathan"},{"family":"Anand","given":"Nitin"}],"accessed":{"date-parts":[["2025",6,30]]},"issued":{"date-parts":[["2023",1]]},"citation-key":"rabiolo2023"}}],"schema":"https://github.com/citation-style-language/schema/raw/master/csl-citation.json"} </w:instrText>
      </w:r>
      <w:r w:rsidR="00567D30">
        <w:fldChar w:fldCharType="separate"/>
      </w:r>
      <w:r w:rsidR="00567D30">
        <w:rPr>
          <w:noProof/>
        </w:rPr>
        <w:t>(Rabiolo et al., 2023)</w:t>
      </w:r>
      <w:r w:rsidR="00567D30">
        <w:fldChar w:fldCharType="end"/>
      </w:r>
      <w:r>
        <w:t xml:space="preserve">. </w:t>
      </w:r>
      <w:r w:rsidR="006B2D3C">
        <w:t>Hypotony</w:t>
      </w:r>
      <w:r>
        <w:t xml:space="preserve"> </w:t>
      </w:r>
      <w:r w:rsidR="006B2D3C">
        <w:t>can be explained by</w:t>
      </w:r>
      <w:r>
        <w:t xml:space="preserve"> inadequate resistance in the intrascleral space or thinning of the TDM. Other late events includ</w:t>
      </w:r>
      <w:r w:rsidR="00EC1EEA">
        <w:t>e</w:t>
      </w:r>
      <w:r>
        <w:t> bleb fibrosis (≈12%), needling</w:t>
      </w:r>
      <w:r w:rsidR="006B2D3C">
        <w:t xml:space="preserve"> </w:t>
      </w:r>
      <w:r>
        <w:t>(15%), and 5-fluorouracil injections (≈ 13%)</w:t>
      </w:r>
      <w:r w:rsidR="006B2D3C">
        <w:t>. Th</w:t>
      </w:r>
      <w:r w:rsidR="001D4ACD">
        <w:t>e</w:t>
      </w:r>
      <w:r w:rsidR="006B2D3C">
        <w:t>se complications and interventions</w:t>
      </w:r>
      <w:r>
        <w:t xml:space="preserve"> </w:t>
      </w:r>
      <w:r w:rsidR="006B2D3C">
        <w:t>can be linked to the</w:t>
      </w:r>
      <w:r>
        <w:t xml:space="preserve"> wound</w:t>
      </w:r>
      <w:r w:rsidR="006B2D3C">
        <w:t xml:space="preserve"> </w:t>
      </w:r>
      <w:r>
        <w:t xml:space="preserve">healing of subconjunctival tissue. Suture lysis (≈10%) is occasionally performed to </w:t>
      </w:r>
      <w:r w:rsidR="006B2D3C">
        <w:t>improve</w:t>
      </w:r>
      <w:r>
        <w:t xml:space="preserve"> filtration</w:t>
      </w:r>
      <w:r w:rsidR="001D4ACD">
        <w:t xml:space="preserve"> </w:t>
      </w:r>
      <w:r w:rsidR="00567D30">
        <w:fldChar w:fldCharType="begin"/>
      </w:r>
      <w:r w:rsidR="00567D30">
        <w:instrText xml:space="preserve"> ADDIN ZOTERO_ITEM CSL_CITATION {"citationID":"Og2lLoqc","properties":{"formattedCitation":"(Mercieca et al., 2025)","plainCitation":"(Mercieca et al., 2025)","noteIndex":0},"citationItems":[{"id":1577,"uris":["http://zotero.org/users/15573016/items/GUMWAIWL"],"itemData":{"id":1577,"type":"article-journal","abstract":"Précis:\n              Deep sclerectomy (DS) and canaloplasty provide better intraocular pressure (IOP) control than viscocanalostomy. DS required less glaucoma medications but more interventions to reach the target IOP.\n            \n            \n              Purpose:\n              To compare real-world outcomes of 3 non-penetrating glaucoma surgery (NPGS) techniques.\n            \n            \n              Methods:\n              Retrospective, cohort study of consecutive patients undergoing canaloplasty (CP), deep sclerectomy (DS), and viscocanalostomy (VC), across 9 European glaucoma units. Four intraocular pressure (IOP) criteria were used to define success at 2-year follow-up: (A) IOP≤21 mmHg and ≥20% reduction; (B) IOP≤18 mmHg and ≥20% reduction; (C) IOP≤15 mmHg and ≥25% reduction; (D) IOP≤12 mmHg and ≥30% reduction. Secondary outcomes included IOP control, BCVA, number of medications over time, risk factors for failure, complications, and post-operative interventions. Success was distinguished as qualified or complete, if reached with or without antiglaucoma medications, respectively.\n            \n            \n              Results:\n              \n                Six hundred eyes (545 patients) undergoing standalone CP (201 eyes), DS (200 eyes), and VC (199 eyes) were included. Qualified success rates of CP, DS, and VP at 24 months were, respectively: (criterion A) 85.1%, 67.6%, and 64.6%; (criterion B) 85.1%, 66.1%, and 58.6%; (criterion C) 76.6%, 55.5%, and 39.0%; (criterion D) 27.7%, 28.5%, and 22.1%. Success rates were significantly different across the 3 techniques (\n                P\n                =0.04 or below), except for complete success according to criterion A (\n                P\n                =0.07). Mean IOP(±SD) reduced from 25.2 (±6.9), 20.5 (±6.7), and 22.7 (±7.2)mmHg preoperatively to 13.1 (±3.1), 12.9 (±4.5), and 14.7 (±4.6)mmHg at postoperative year 2 in the CP, DS, and VC groups, respectively (\n                P\n                &lt;0.001 between preoperative and postoperative time points for all groups).\n              \n            \n            \n              Conclusions:\n              All 3 NPGS provide sustained IOP reduction, but DS and CP provide better success rates and IOP control. Success rates were low for the most stringent cutoffs, suggesting that other techniques such as trabeculectomy may be indicated when a very low target IOP is demanded.","container-title":"Journal of Glaucoma","DOI":"10.1097/IJG.0000000000002535","ISSN":"1057-0829, 1536-481X","issue":"5","language":"en","page":"349-357","source":"DOI.org (Crossref)","title":"Comparison of Outcomes of Deep Sclerectomy, Canaloplasty, and Viscocanaloplasty: A Multicenter Study","title-short":"Comparison of Outcomes of Deep Sclerectomy, Canaloplasty, and Viscocanaloplasty","URL":"https://journals.lww.com/10.1097/IJG.0000000000002535","volume":"34","author":[{"family":"Mercieca","given":"Karl"},{"family":"Azzopardi","given":"Matthew"},{"family":"Vallabh","given":"Neeru A."},{"family":"Cristian","given":"Cristina"},{"family":"Prokosch","given":"Verena"},{"family":"Dubois","given":"Vincent"},{"family":"Hemmerdinger","given":"Christopher"},{"family":"De Cillà","given":"Stefano"},{"family":"Mathews","given":"Divya"},{"family":"Mermoud","given":"Andre"},{"family":"Grieshaber","given":"Matthias C."},{"family":"Mégevand","given":"Gordana Sunaric"},{"family":"Anand","given":"Nitin"},{"family":"Rabiolo","given":"Alessandro"}],"accessed":{"date-parts":[["2025",6,30]]},"issued":{"date-parts":[["2025",5]]},"citation-key":"mercieca2025"}}],"schema":"https://github.com/citation-style-language/schema/raw/master/csl-citation.json"} </w:instrText>
      </w:r>
      <w:r w:rsidR="00567D30">
        <w:fldChar w:fldCharType="separate"/>
      </w:r>
      <w:r w:rsidR="00567D30">
        <w:rPr>
          <w:noProof/>
        </w:rPr>
        <w:t>(Mercieca et al., 2025)</w:t>
      </w:r>
      <w:r w:rsidR="00567D30">
        <w:fldChar w:fldCharType="end"/>
      </w:r>
      <w:r>
        <w:t xml:space="preserve">. In CP, long-term complications are rare because the viscodilated Schlemm’s canal and tension sutures maintain </w:t>
      </w:r>
      <w:r w:rsidR="006B2D3C">
        <w:t>the patency of the</w:t>
      </w:r>
      <w:r>
        <w:t xml:space="preserve"> physiological outflow pathway. Late failure</w:t>
      </w:r>
      <w:r w:rsidR="006B2D3C">
        <w:t xml:space="preserve"> after CP</w:t>
      </w:r>
      <w:r>
        <w:t xml:space="preserve"> usually </w:t>
      </w:r>
      <w:r>
        <w:lastRenderedPageBreak/>
        <w:t>presents as a gradual ris</w:t>
      </w:r>
      <w:r w:rsidR="006B2D3C">
        <w:t xml:space="preserve">e </w:t>
      </w:r>
      <w:r w:rsidR="004B0F35">
        <w:t>i</w:t>
      </w:r>
      <w:r w:rsidR="006B2D3C">
        <w:t xml:space="preserve">n </w:t>
      </w:r>
      <w:r w:rsidR="004B0F35">
        <w:t>IOP,</w:t>
      </w:r>
      <w:r w:rsidR="006B2D3C">
        <w:t xml:space="preserve"> attributed to</w:t>
      </w:r>
      <w:r>
        <w:t xml:space="preserve"> fibrotic closure of collector channels </w:t>
      </w:r>
      <w:r w:rsidR="00567D30">
        <w:fldChar w:fldCharType="begin"/>
      </w:r>
      <w:r w:rsidR="00567D30">
        <w:instrText xml:space="preserve"> ADDIN ZOTERO_ITEM CSL_CITATION {"citationID":"jISPRTBN","properties":{"formattedCitation":"(Brusini et al., 2016)","plainCitation":"(Brusini et al., 2016)","noteIndex":0},"citationItems":[{"id":1703,"uris":["http://zotero.org/users/15573016/items/HUWDT2SP"],"itemData":{"id":1703,"type":"article-journal","abstract":"Purpose:\n              To present the mid-term results of a prospective multicenter study on canaloplasty surgery in chronic open-angle glaucoma.\n            \n            \n              Materials and Methods:\n              A total of 218 eyes from 197 patients with open-angle glaucoma under maximum tolerated medical therapy underwent canaloplasty within a time period of 42 months in 3 different Italian eye centers. All patients underwent a complete ophthalmic examination every 6 months. The follow-up ranged from 3 to 42 months.\n            \n            \n              Results:\n              \n                The entire procedure according to standard protocol could not be performed in 20 eyes (9.2%). A total of 198 eyes from 178 patients with a mean follow-up of 23.1±10.6 months were taken into consideration. The preoperative mean intraocular pressure (IOP) was 28.4±7.5 mm Hg. The mean IOP at the 2-year follow-up was 15.9±4.7 mm Hg (range, 6 to 40 mm Hg; paired\n                t\n                test;\n                P\n                =0.0001), with a mean reduction from baseline of 44% (range, 11.1% to 82.8%). After 2 years of follow-up, a qualified success rate based on postoperative IOP≤21, ≤18, and ≤16 mm Hg was obtained in 82 (92.1%), 75 (84.3%), and 61 (68.5%) eyes, respectively; a complete success for an IOP≤21, ≤18, and ≤16 mm Hg was obtained in 63 (70.8%), 60 (67.4%), and 53 (59.5%) eyes, respectively. The number of medications used preoperatively and at the 2-year follow-up was 3.2±0.9 and 1.1±1.3, respectively. The most frequently seen complications included: hyphema in 47 eyes (23.7%), Descemet membrane detachment in 11 eyes (5.5%), and IOP spikes &gt;10 mm Hg in 12 cases (6.1%).\n              \n            \n            \n              Conclusions:\n              Canaloplasty is a quite difficult surgical technique; however, mid-term results are promising. Complications can sometimes occur, but are seldom serious. The main advantage of this promising bleb-less procedure is that physiological humor aqueous outflow is restored.","container-title":"Journal of Glaucoma","DOI":"10.1097/IJG.0000000000000103","ISSN":"1057-0829","issue":"5","language":"en","page":"403-407","source":"DOI.org (Crossref)","title":"Canaloplasty in Open-angle Glaucoma: Mid-term Results From a Multicenter Study","title-short":"Canaloplasty in Open-angle Glaucoma","URL":"https://journals.lww.com/00061198-201605000-00001","volume":"25","author":[{"family":"Brusini","given":"Paolo"},{"family":"Caramello","given":"Guido"},{"family":"Benedetti","given":"Stefano"},{"family":"Tosoni","given":"Claudia"}],"accessed":{"date-parts":[["2025",7,1]]},"issued":{"date-parts":[["2016",5]]},"citation-key":"brusini2016"}}],"schema":"https://github.com/citation-style-language/schema/raw/master/csl-citation.json"} </w:instrText>
      </w:r>
      <w:r w:rsidR="00567D30">
        <w:fldChar w:fldCharType="separate"/>
      </w:r>
      <w:r w:rsidR="00567D30">
        <w:rPr>
          <w:noProof/>
        </w:rPr>
        <w:t>(Brusini et al., 2016)</w:t>
      </w:r>
      <w:r w:rsidR="00567D30">
        <w:fldChar w:fldCharType="end"/>
      </w:r>
      <w:r>
        <w:t>.</w:t>
      </w:r>
    </w:p>
    <w:p w14:paraId="08842A02" w14:textId="77777777" w:rsidR="0024401C" w:rsidRDefault="0024401C" w:rsidP="0024401C">
      <w:pPr>
        <w:spacing w:line="360" w:lineRule="auto"/>
        <w:jc w:val="both"/>
      </w:pPr>
    </w:p>
    <w:p w14:paraId="203C9833" w14:textId="2664EA7B" w:rsidR="001E4BC8" w:rsidRPr="00444169" w:rsidRDefault="006B2D3C" w:rsidP="0024401C">
      <w:pPr>
        <w:spacing w:line="360" w:lineRule="auto"/>
        <w:jc w:val="both"/>
        <w:rPr>
          <w:lang w:val="en-GB"/>
        </w:rPr>
      </w:pPr>
      <w:r>
        <w:t>Non-penetrative surgical modalities present with e</w:t>
      </w:r>
      <w:r w:rsidR="001861FE">
        <w:t>arly complications</w:t>
      </w:r>
      <w:r>
        <w:t>, which can be attributed to</w:t>
      </w:r>
      <w:r w:rsidR="001861FE">
        <w:t> mechanical trauma or transient flow disequilibrium</w:t>
      </w:r>
      <w:r>
        <w:t>.</w:t>
      </w:r>
      <w:r w:rsidR="001861FE">
        <w:t xml:space="preserve"> </w:t>
      </w:r>
      <w:r>
        <w:t>L</w:t>
      </w:r>
      <w:r w:rsidR="001861FE">
        <w:t>ate events</w:t>
      </w:r>
      <w:r>
        <w:t>/complications</w:t>
      </w:r>
      <w:r w:rsidR="001861FE">
        <w:t xml:space="preserve"> are </w:t>
      </w:r>
      <w:r>
        <w:t xml:space="preserve">often </w:t>
      </w:r>
      <w:r w:rsidR="001861FE">
        <w:t xml:space="preserve">the result of fibrotic </w:t>
      </w:r>
      <w:r w:rsidR="00AF101A">
        <w:t>remodelling</w:t>
      </w:r>
      <w:r w:rsidR="001861FE">
        <w:t xml:space="preserve"> and gradual loss of outflow permeability.</w:t>
      </w:r>
      <w:r>
        <w:t xml:space="preserve"> Those can often be resolved with secondary interventions to restore patency of the TDM.</w:t>
      </w:r>
      <w:r w:rsidR="001861FE">
        <w:t xml:space="preserve"> The overall severity</w:t>
      </w:r>
      <w:r>
        <w:t xml:space="preserve"> of complications</w:t>
      </w:r>
      <w:r w:rsidR="001861FE">
        <w:t xml:space="preserve"> and visual impact</w:t>
      </w:r>
      <w:r>
        <w:t xml:space="preserve"> (vision-threatening complications)</w:t>
      </w:r>
      <w:r w:rsidR="001861FE">
        <w:t> remain</w:t>
      </w:r>
      <w:r>
        <w:t>s</w:t>
      </w:r>
      <w:r w:rsidR="001861FE">
        <w:t xml:space="preserve"> low</w:t>
      </w:r>
      <w:r w:rsidR="00AF101A">
        <w:t>.</w:t>
      </w:r>
      <w:r w:rsidR="001861FE">
        <w:t xml:space="preserve"> </w:t>
      </w:r>
      <w:r>
        <w:t>The non-penetrative</w:t>
      </w:r>
      <w:r w:rsidR="001861FE">
        <w:t xml:space="preserve"> </w:t>
      </w:r>
      <w:r>
        <w:t xml:space="preserve">technique, </w:t>
      </w:r>
      <w:r w:rsidR="001D4ACD">
        <w:t>which</w:t>
      </w:r>
      <w:r>
        <w:t xml:space="preserve"> </w:t>
      </w:r>
      <w:r w:rsidR="001D4ACD">
        <w:t>preserves</w:t>
      </w:r>
      <w:r>
        <w:t xml:space="preserve"> anterior chamber integrity and </w:t>
      </w:r>
      <w:r w:rsidR="001D4ACD">
        <w:t>uses</w:t>
      </w:r>
      <w:r>
        <w:t xml:space="preserve"> physiological drainage pathways, results in fewer overall complications.</w:t>
      </w:r>
      <w:r w:rsidR="001D4ACD">
        <w:t xml:space="preserve"> In summary, DS and CP provide a favorable safety profile compared with penetrating surgeries.</w:t>
      </w:r>
    </w:p>
    <w:p w14:paraId="49C7A5E1" w14:textId="77777777" w:rsidR="006E004F" w:rsidRPr="006E004F" w:rsidRDefault="006E004F" w:rsidP="003A0B82">
      <w:pPr>
        <w:spacing w:line="360" w:lineRule="auto"/>
      </w:pPr>
    </w:p>
    <w:p w14:paraId="050AFAD1" w14:textId="7B874885" w:rsidR="00850DAD" w:rsidRDefault="00850DAD" w:rsidP="003A0B82">
      <w:pPr>
        <w:pStyle w:val="Heading2"/>
      </w:pPr>
      <w:bookmarkStart w:id="28" w:name="_Toc213182579"/>
      <w:r w:rsidRPr="00FF4A5C">
        <w:t>Minimally Invasive Glaucoma Surgeries (MIGS)</w:t>
      </w:r>
      <w:bookmarkEnd w:id="28"/>
    </w:p>
    <w:p w14:paraId="5F29DF2C" w14:textId="77777777" w:rsidR="002747E6" w:rsidRDefault="007B794A" w:rsidP="003A0B82">
      <w:pPr>
        <w:spacing w:line="360" w:lineRule="auto"/>
        <w:jc w:val="both"/>
      </w:pPr>
      <w:r>
        <w:t xml:space="preserve">Minimally invasive glaucoma surgeries (MIGS) are </w:t>
      </w:r>
      <w:r w:rsidR="003F4483" w:rsidRPr="003F4483">
        <w:rPr>
          <w:i/>
          <w:iCs/>
        </w:rPr>
        <w:t>ab interno</w:t>
      </w:r>
      <w:r w:rsidR="003F4483">
        <w:t xml:space="preserve"> procedures </w:t>
      </w:r>
      <w:r w:rsidR="004F53FF">
        <w:t xml:space="preserve">that </w:t>
      </w:r>
      <w:r w:rsidR="002747E6">
        <w:t>cause less</w:t>
      </w:r>
      <w:r w:rsidR="004F53FF">
        <w:t xml:space="preserve"> tissue alteration </w:t>
      </w:r>
      <w:r w:rsidR="002747E6">
        <w:t>than</w:t>
      </w:r>
      <w:r w:rsidR="004F53FF">
        <w:t xml:space="preserve"> traditional penetrating</w:t>
      </w:r>
      <w:r w:rsidR="003F4483">
        <w:t xml:space="preserve"> filtration surgeries (e.g., trabeculectomy). Furthermore, th</w:t>
      </w:r>
      <w:r w:rsidR="002747E6">
        <w:t>e</w:t>
      </w:r>
      <w:r w:rsidR="003F4483">
        <w:t xml:space="preserve">se procedures do not create a filtering bleb </w:t>
      </w:r>
      <w:r w:rsidR="003F4483">
        <w:fldChar w:fldCharType="begin"/>
      </w:r>
      <w:r w:rsidR="003F4483">
        <w:instrText xml:space="preserve"> ADDIN ZOTERO_ITEM CSL_CITATION {"citationID":"vURxseTO","properties":{"formattedCitation":"(Coleman &amp; Richter, 2016; Konopi\\uc0\\u324{}ska et al., 2021)","plainCitation":"(Coleman &amp; Richter, 2016; Konopińska et al., 2021)","noteIndex":0},"citationItems":[{"id":2010,"uris":["http://zotero.org/users/15573016/items/DCCJ82LF"],"itemData":{"id":2010,"type":"article-journal","container-title":"Clinical Ophthalmology","DOI":"10.2147/opth.s80490","ISSN":"1177-5483","journalAbbreviation":"OPTH","language":"en","license":"http://creativecommons.org/licenses/by-nc/3.0/","note":"publisher: Informa UK Limited","page":"189","source":"Crossref","title":"Minimally invasive glaucoma surgery: current status and future prospects","title-short":"Minimally invasive glaucoma surgery","URL":"https://www.dovepress.com/minimally-invasive-glaucoma-surgery-current-status-and-future-prospect-peer-reviewed-article-OPTH","author":[{"family":"Coleman","given":"Anne L."},{"family":"Richter","given":"Grace"}],"accessed":{"date-parts":[["2025",7,7]]},"issued":{"date-parts":[["2016",1]]},"citation-key":"coleman2016"}},{"id":2012,"uris":["http://zotero.org/users/15573016/items/LE9389RC"],"itemData":{"id":2012,"type":"article-journal","container-title":"Clinical Ophthalmology","DOI":"10.2147/opth.s293702","ISSN":"1177-5483","journalAbbreviation":"OPTH","language":"en","license":"http://creativecommons.org/licenses/by-nc/3.0/","note":"publisher: Informa UK Limited","page":"1109-1118","source":"Crossref","title":"Microinvasive Glaucoma Surgery: A Review of Schlemm’s Canal-Based Procedures","title-short":"Microinvasive Glaucoma Surgery","URL":"https://www.dovepress.com/microinvasive-glaucoma-surgery-a-review-of-schlemmrsquos-canal-based-p-peer-reviewed-article-OPTH","volume":"Volume 15","author":[{"family":"Konopińska","given":"Joanna"},{"family":"Lewczuk","given":"Katarzyna"},{"family":"Jabłońska","given":"Joanna"},{"family":"Mariak","given":"Zofia"},{"family":"Rękas","given":"Marek"}],"accessed":{"date-parts":[["2025",7,7]]},"issued":{"date-parts":[["2021",3]]},"citation-key":"konopinska2021"}}],"schema":"https://github.com/citation-style-language/schema/raw/master/csl-citation.json"} </w:instrText>
      </w:r>
      <w:r w:rsidR="003F4483">
        <w:fldChar w:fldCharType="separate"/>
      </w:r>
      <w:r w:rsidR="003F4483" w:rsidRPr="005856DB">
        <w:t>(Coleman &amp; Richter, 2016; Konopińska et al., 2021)</w:t>
      </w:r>
      <w:r w:rsidR="003F4483">
        <w:fldChar w:fldCharType="end"/>
      </w:r>
      <w:r w:rsidR="003F4483">
        <w:t xml:space="preserve">. The filtration bleb </w:t>
      </w:r>
      <w:r w:rsidR="004F53FF">
        <w:t>distinguishes</w:t>
      </w:r>
      <w:r w:rsidR="003F4483">
        <w:t xml:space="preserve"> </w:t>
      </w:r>
      <w:r w:rsidR="004F53FF">
        <w:t>it</w:t>
      </w:r>
      <w:r w:rsidR="003F4483">
        <w:t xml:space="preserve"> from microinvasive filtration surgeries (MIFS), which will be covered in the next chapter. MIGS work on the</w:t>
      </w:r>
      <w:r w:rsidR="00CF5B71">
        <w:t xml:space="preserve"> trabecular meshwork and Schlemm’s canal </w:t>
      </w:r>
      <w:r w:rsidR="003F4483">
        <w:t>by facilitating</w:t>
      </w:r>
      <w:r w:rsidR="00CF5B71">
        <w:t xml:space="preserve"> aqueous humor outflow while preserving the integrity of the conjunctiva and sclera </w:t>
      </w:r>
      <w:r w:rsidR="005856DB">
        <w:fldChar w:fldCharType="begin"/>
      </w:r>
      <w:r w:rsidR="005856DB">
        <w:instrText xml:space="preserve"> ADDIN ZOTERO_ITEM CSL_CITATION {"citationID":"DIo4Q0DT","properties":{"formattedCitation":"(Coleman &amp; Richter, 2016)","plainCitation":"(Coleman &amp; Richter, 2016)","noteIndex":0},"citationItems":[{"id":2010,"uris":["http://zotero.org/users/15573016/items/DCCJ82LF"],"itemData":{"id":2010,"type":"article-journal","container-title":"Clinical Ophthalmology","DOI":"10.2147/opth.s80490","ISSN":"1177-5483","journalAbbreviation":"OPTH","language":"en","license":"http://creativecommons.org/licenses/by-nc/3.0/","note":"publisher: Informa UK Limited","page":"189","source":"Crossref","title":"Minimally invasive glaucoma surgery: current status and future prospects","title-short":"Minimally invasive glaucoma surgery","URL":"https://www.dovepress.com/minimally-invasive-glaucoma-surgery-current-status-and-future-prospect-peer-reviewed-article-OPTH","author":[{"family":"Coleman","given":"Anne L."},{"family":"Richter","given":"Grace"}],"accessed":{"date-parts":[["2025",7,7]]},"issued":{"date-parts":[["2016",1]]},"citation-key":"coleman2016"}}],"schema":"https://github.com/citation-style-language/schema/raw/master/csl-citation.json"} </w:instrText>
      </w:r>
      <w:r w:rsidR="005856DB">
        <w:fldChar w:fldCharType="separate"/>
      </w:r>
      <w:r w:rsidR="005856DB">
        <w:t>(Coleman &amp; Richter, 2016)</w:t>
      </w:r>
      <w:r w:rsidR="005856DB">
        <w:fldChar w:fldCharType="end"/>
      </w:r>
      <w:r w:rsidR="005856DB">
        <w:t xml:space="preserve">. </w:t>
      </w:r>
      <w:r w:rsidR="00CF5B71">
        <w:t xml:space="preserve">MIGS are </w:t>
      </w:r>
      <w:r w:rsidR="009E19C9">
        <w:t>indicated</w:t>
      </w:r>
      <w:r w:rsidR="00CF5B71">
        <w:t xml:space="preserve"> in patients with mild to moderate primary open-angle glaucoma (POAG)</w:t>
      </w:r>
      <w:r w:rsidR="003F4483">
        <w:t xml:space="preserve"> </w:t>
      </w:r>
      <w:r w:rsidR="005856DB">
        <w:fldChar w:fldCharType="begin"/>
      </w:r>
      <w:r w:rsidR="005856DB">
        <w:instrText xml:space="preserve"> ADDIN ZOTERO_ITEM CSL_CITATION {"citationID":"Bm6CAM9H","properties":{"formattedCitation":"(Gedde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rsidR="005856DB">
        <w:fldChar w:fldCharType="separate"/>
      </w:r>
      <w:r w:rsidR="005856DB">
        <w:rPr>
          <w:noProof/>
        </w:rPr>
        <w:t>(Gedde et al., 2021b)</w:t>
      </w:r>
      <w:r w:rsidR="005856DB">
        <w:fldChar w:fldCharType="end"/>
      </w:r>
      <w:r w:rsidR="005856DB">
        <w:t>.</w:t>
      </w:r>
      <w:r w:rsidR="003F4483">
        <w:t xml:space="preserve"> </w:t>
      </w:r>
      <w:r w:rsidR="00CF5B71">
        <w:t>MIGS techniques include</w:t>
      </w:r>
      <w:r w:rsidR="003F4483">
        <w:t>d in this review are</w:t>
      </w:r>
      <w:r w:rsidR="00CF5B71">
        <w:t xml:space="preserve"> trabecular bypass stents</w:t>
      </w:r>
      <w:r w:rsidR="004F53FF">
        <w:t>,</w:t>
      </w:r>
      <w:r w:rsidR="00CF5B71">
        <w:t xml:space="preserve"> such as iStent and Hydrus</w:t>
      </w:r>
      <w:r w:rsidR="004F53FF">
        <w:t>,</w:t>
      </w:r>
      <w:r w:rsidR="003F4483">
        <w:t xml:space="preserve"> and meshwork ablation procedures</w:t>
      </w:r>
      <w:r w:rsidR="004F53FF">
        <w:t>,</w:t>
      </w:r>
      <w:r w:rsidR="003F4483">
        <w:t xml:space="preserve"> such as Trabectome and gonioscopy-assisted transluminal trabeculotomy (GATT). </w:t>
      </w:r>
    </w:p>
    <w:p w14:paraId="59EF6D02" w14:textId="77777777" w:rsidR="002747E6" w:rsidRDefault="002747E6" w:rsidP="003A0B82">
      <w:pPr>
        <w:spacing w:line="360" w:lineRule="auto"/>
        <w:jc w:val="both"/>
      </w:pPr>
    </w:p>
    <w:p w14:paraId="18C02182" w14:textId="521FFFD4" w:rsidR="00EC587B" w:rsidRDefault="003F4483" w:rsidP="003A0B82">
      <w:pPr>
        <w:spacing w:line="360" w:lineRule="auto"/>
        <w:jc w:val="both"/>
      </w:pPr>
      <w:r>
        <w:t xml:space="preserve">Trabecular bypass stents enable aqueous drainage directly into Schlemm’s canal. In gonioscopy-assisted transluminal trabeculotomy (GATT) a 360° trabeculotomy is performed using a suture or microcatheter under direct gonioscopic visualization </w:t>
      </w:r>
      <w:r>
        <w:fldChar w:fldCharType="begin"/>
      </w:r>
      <w:r>
        <w:instrText xml:space="preserve"> ADDIN ZOTERO_ITEM CSL_CITATION {"citationID":"JYhx4FDh","properties":{"formattedCitation":"(Yuan et al., 2025)","plainCitation":"(Yuan et al., 2025)","noteIndex":0},"citationItems":[{"id":1641,"uris":["http://zotero.org/users/15573016/items/TYIP5NM7"],"itemData":{"id":1641,"type":"article-journal","container-title":"American Journal of Ophthalmology","DOI":"10.1016/j.ajo.2024.07.034","ISSN":"00029394","journalAbbreviation":"American Journal of Ophthalmology","language":"en","page":"154-163","source":"DOI.org (Crossref)","title":"Combined Microinvasive Glaucoma Surgery With Phacoemulsification in Open-Angle Glaucoma: A Systematic Review and Meta-analysis","title-short":"Combined Microinvasive Glaucoma Surgery With Phacoemulsification in Open-Angle Glaucoma","URL":"https://linkinghub.elsevier.com/retrieve/pii/S0002939424003337","volume":"270","author":[{"family":"Yuan","given":"Po Hsiang (Shawn)"},{"family":"Dorling","given":"Marisa"},{"family":"Shah","given":"Manjool"},{"family":"Panarelli","given":"Joseph F."},{"family":"Durr","given":"Georges M."}],"accessed":{"date-parts":[["2025",6,30]]},"issued":{"date-parts":[["2025",2]]},"citation-key":"yuan2025"}}],"schema":"https://github.com/citation-style-language/schema/raw/master/csl-citation.json"} </w:instrText>
      </w:r>
      <w:r>
        <w:fldChar w:fldCharType="separate"/>
      </w:r>
      <w:r>
        <w:rPr>
          <w:noProof/>
        </w:rPr>
        <w:t>(Yuan et al., 2025)</w:t>
      </w:r>
      <w:r>
        <w:fldChar w:fldCharType="end"/>
      </w:r>
      <w:r>
        <w:t xml:space="preserve">. MIGS </w:t>
      </w:r>
      <w:r w:rsidR="00585E86">
        <w:t>can</w:t>
      </w:r>
      <w:r>
        <w:t xml:space="preserve"> be easily combin</w:t>
      </w:r>
      <w:r w:rsidR="00585E86">
        <w:t>ed</w:t>
      </w:r>
      <w:r>
        <w:t xml:space="preserve"> with </w:t>
      </w:r>
      <w:r w:rsidR="00CF5B71">
        <w:t>phacoemulsification (cataract surgery)</w:t>
      </w:r>
      <w:r w:rsidR="00476EAD">
        <w:t xml:space="preserve"> in </w:t>
      </w:r>
      <w:r w:rsidR="00585E86">
        <w:t>a</w:t>
      </w:r>
      <w:r w:rsidR="00476EAD">
        <w:t xml:space="preserve"> </w:t>
      </w:r>
      <w:r w:rsidR="00585E86">
        <w:t>single operative</w:t>
      </w:r>
      <w:r w:rsidR="00476EAD">
        <w:t xml:space="preserve"> session</w:t>
      </w:r>
      <w:r w:rsidR="005856DB">
        <w:t xml:space="preserve"> </w:t>
      </w:r>
      <w:r w:rsidR="005856DB">
        <w:fldChar w:fldCharType="begin"/>
      </w:r>
      <w:r w:rsidR="005856DB">
        <w:instrText xml:space="preserve"> ADDIN ZOTERO_ITEM CSL_CITATION {"citationID":"WlRNa0vW","properties":{"formattedCitation":"(Richter et al., 2024)","plainCitation":"(Richter et al., 2024)","noteIndex":0},"citationItems":[{"id":2016,"uris":["http://zotero.org/users/15573016/items/C2Y5LIU4"],"itemData":{"id":2016,"type":"article-journal","container-title":"Ophthalmology","DOI":"10.1016/j.ophtha.2023.10.009","ISSN":"0161-6420","issue":"3","language":"en","license":"https://www.elsevier.com/tdm/userlicense/1.0/","note":"publisher: Elsevier BV","page":"370-382","source":"Crossref","title":"Trabecular Procedures Combined with Cataract Surgery for Open-Angle Glaucoma","URL":"https://linkinghub.elsevier.com/retrieve/pii/S0161642023007212","volume":"131","author":[{"family":"Richter","given":"Grace M."},{"family":"Takusagawa","given":"Hana L."},{"family":"Sit","given":"Arthur J."},{"family":"Rosdahl","given":"Jullia A."},{"family":"Chopra","given":"Vikas"},{"family":"Ou","given":"Yvonne"},{"family":"Kim","given":"Stephen J."},{"family":"WuDunn","given":"Darrell"}],"accessed":{"date-parts":[["2025",7,7]]},"issued":{"date-parts":[["2024",3]]},"citation-key":"richter2024"}}],"schema":"https://github.com/citation-style-language/schema/raw/master/csl-citation.json"} </w:instrText>
      </w:r>
      <w:r w:rsidR="005856DB">
        <w:fldChar w:fldCharType="separate"/>
      </w:r>
      <w:r w:rsidR="005856DB">
        <w:rPr>
          <w:noProof/>
        </w:rPr>
        <w:t>(Richter et al., 2024)</w:t>
      </w:r>
      <w:r w:rsidR="005856DB">
        <w:fldChar w:fldCharType="end"/>
      </w:r>
      <w:r w:rsidR="00CF5B71">
        <w:t>.</w:t>
      </w:r>
      <w:r w:rsidR="00F5594E">
        <w:t xml:space="preserve"> </w:t>
      </w:r>
      <w:r w:rsidR="00585E86">
        <w:t xml:space="preserve">A </w:t>
      </w:r>
      <w:r w:rsidR="00CF5B71">
        <w:t>20–40%</w:t>
      </w:r>
      <w:r w:rsidR="00585E86">
        <w:t xml:space="preserve"> IOP reduction</w:t>
      </w:r>
      <w:r w:rsidR="00CF5B71">
        <w:t xml:space="preserve"> at one to two years of follow-up</w:t>
      </w:r>
      <w:r w:rsidR="00585E86">
        <w:t xml:space="preserve"> </w:t>
      </w:r>
      <w:r w:rsidR="002747E6">
        <w:t>was</w:t>
      </w:r>
      <w:r w:rsidR="00585E86">
        <w:t xml:space="preserve"> reported after MIGS procedures. </w:t>
      </w:r>
      <w:r w:rsidR="002747E6">
        <w:t>This</w:t>
      </w:r>
      <w:r w:rsidR="00585E86">
        <w:t xml:space="preserve"> resulted</w:t>
      </w:r>
      <w:r w:rsidR="00CF5B71">
        <w:t xml:space="preserve"> in final IOP values in the mid-teens</w:t>
      </w:r>
      <w:r w:rsidR="005856DB">
        <w:t xml:space="preserve"> </w:t>
      </w:r>
      <w:bookmarkStart w:id="29" w:name="_Hlk212799551"/>
      <w:r w:rsidR="005856DB">
        <w:fldChar w:fldCharType="begin"/>
      </w:r>
      <w:r w:rsidR="00C514F8">
        <w:instrText xml:space="preserve"> ADDIN ZOTERO_ITEM CSL_CITATION {"citationID":"35WpRwCw","properties":{"formattedCitation":"(Lavia et al., 2017)","plainCitation":"(Lavia et al., 2017)","noteIndex":0},"citationItems":[{"id":1177,"uris":["http://zotero.org/users/15573016/items/U5AYW36H"],"itemData":{"id":1177,"type":"article-journal","container-title":"PLOS ONE","DOI":"10.1371/journal.pone.0183142","ISSN":"1932-6203","issue":"8","journalAbbreviation":"PLoS ONE","language":"en","page":"e0183142","source":"DOI.org (Crossref)","title":"Minimally-invasive glaucoma surgeries (MIGS) for open angle glaucoma: A systematic review and meta-analysis","title-short":"Minimally-invasive glaucoma surgeries (MIGS) for open angle glaucoma","URL":"https://dx.plos.org/10.1371/journal.pone.0183142","volume":"12","author":[{"family":"Lavia","given":"Carlo"},{"family":"Dallorto","given":"Laura"},{"family":"Maule","given":"Milena"},{"family":"Ceccarelli","given":"Manuela"},{"family":"Fea","given":"Antonio Maria"}],"editor":[{"family":"Virgili","given":"Gianni"}],"accessed":{"date-parts":[["2025",4,15]]},"issued":{"date-parts":[["2017",8,29]]},"citation-key":"lavia2017"}}],"schema":"https://github.com/citation-style-language/schema/raw/master/csl-citation.json"} </w:instrText>
      </w:r>
      <w:r w:rsidR="005856DB">
        <w:fldChar w:fldCharType="separate"/>
      </w:r>
      <w:r w:rsidR="00C514F8">
        <w:rPr>
          <w:noProof/>
        </w:rPr>
        <w:t>(Lavia et al., 2017)</w:t>
      </w:r>
      <w:r w:rsidR="005856DB">
        <w:fldChar w:fldCharType="end"/>
      </w:r>
      <w:bookmarkEnd w:id="29"/>
      <w:r w:rsidR="00CF5B71">
        <w:t xml:space="preserve">. Among various MIGS procedures, GATT has been </w:t>
      </w:r>
      <w:r w:rsidR="00585E86">
        <w:t>shown</w:t>
      </w:r>
      <w:r w:rsidR="00CF5B71">
        <w:t xml:space="preserve"> to produce the </w:t>
      </w:r>
      <w:r w:rsidR="00585E86">
        <w:t>greates</w:t>
      </w:r>
      <w:r w:rsidR="00CF5B71">
        <w:t>t IOP reduction, lowering IOP from approximately 22 mmHg to 12.5 mmHg at 12 months</w:t>
      </w:r>
      <w:r w:rsidR="009E19C9">
        <w:t xml:space="preserve">. This equals </w:t>
      </w:r>
      <w:r w:rsidR="00CF5B71">
        <w:t xml:space="preserve">an estimated 43% decrease </w:t>
      </w:r>
      <w:r w:rsidR="00C514F8">
        <w:fldChar w:fldCharType="begin"/>
      </w:r>
      <w:r w:rsidR="00C514F8">
        <w:instrText xml:space="preserve"> ADDIN ZOTERO_ITEM CSL_CITATION {"citationID":"26R3tIXl","properties":{"formattedCitation":"(Lavia et al., 2017)","plainCitation":"(Lavia et al., 2017)","noteIndex":0},"citationItems":[{"id":1177,"uris":["http://zotero.org/users/15573016/items/U5AYW36H"],"itemData":{"id":1177,"type":"article-journal","container-title":"PLOS ONE","DOI":"10.1371/journal.pone.0183142","ISSN":"1932-6203","issue":"8","journalAbbreviation":"PLoS ONE","language":"en","page":"e0183142","source":"DOI.org (Crossref)","title":"Minimally-invasive glaucoma surgeries (MIGS) for open angle glaucoma: A systematic review and meta-analysis","title-short":"Minimally-invasive glaucoma surgeries (MIGS) for open angle glaucoma","URL":"https://dx.plos.org/10.1371/journal.pone.0183142","volume":"12","author":[{"family":"Lavia","given":"Carlo"},{"family":"Dallorto","given":"Laura"},{"family":"Maule","given":"Milena"},{"family":"Ceccarelli","given":"Manuela"},{"family":"Fea","given":"Antonio Maria"}],"editor":[{"family":"Virgili","given":"Gianni"}],"accessed":{"date-parts":[["2025",4,15]]},"issued":{"date-parts":[["2017",8,29]]},"citation-key":"lavia2017"}}],"schema":"https://github.com/citation-style-language/schema/raw/master/csl-citation.json"} </w:instrText>
      </w:r>
      <w:r w:rsidR="00C514F8">
        <w:fldChar w:fldCharType="separate"/>
      </w:r>
      <w:r w:rsidR="00C514F8">
        <w:rPr>
          <w:noProof/>
        </w:rPr>
        <w:t>(Lavia et al., 2017)</w:t>
      </w:r>
      <w:r w:rsidR="00C514F8">
        <w:fldChar w:fldCharType="end"/>
      </w:r>
      <w:r w:rsidR="00CF5B71">
        <w:t>.</w:t>
      </w:r>
      <w:r w:rsidR="00DD4EA0">
        <w:t xml:space="preserve"> </w:t>
      </w:r>
      <w:r w:rsidR="00CF5B71">
        <w:t xml:space="preserve">Trabectome and trabecular stent procedures (iStent and Hydrus) have been shown to achieve IOP reductions of 30–35% from </w:t>
      </w:r>
      <w:r w:rsidR="00CF5B71">
        <w:lastRenderedPageBreak/>
        <w:t xml:space="preserve">baseline with mean postoperative IOP levels of approximately 14.5–15 mmHg </w:t>
      </w:r>
      <w:r w:rsidR="00C514F8">
        <w:fldChar w:fldCharType="begin"/>
      </w:r>
      <w:r w:rsidR="00C514F8">
        <w:instrText xml:space="preserve"> ADDIN ZOTERO_ITEM CSL_CITATION {"citationID":"Vr0oXa9Y","properties":{"formattedCitation":"(Lavia et al., 2017)","plainCitation":"(Lavia et al., 2017)","noteIndex":0},"citationItems":[{"id":1177,"uris":["http://zotero.org/users/15573016/items/U5AYW36H"],"itemData":{"id":1177,"type":"article-journal","container-title":"PLOS ONE","DOI":"10.1371/journal.pone.0183142","ISSN":"1932-6203","issue":"8","journalAbbreviation":"PLoS ONE","language":"en","page":"e0183142","source":"DOI.org (Crossref)","title":"Minimally-invasive glaucoma surgeries (MIGS) for open angle glaucoma: A systematic review and meta-analysis","title-short":"Minimally-invasive glaucoma surgeries (MIGS) for open angle glaucoma","URL":"https://dx.plos.org/10.1371/journal.pone.0183142","volume":"12","author":[{"family":"Lavia","given":"Carlo"},{"family":"Dallorto","given":"Laura"},{"family":"Maule","given":"Milena"},{"family":"Ceccarelli","given":"Manuela"},{"family":"Fea","given":"Antonio Maria"}],"editor":[{"family":"Virgili","given":"Gianni"}],"accessed":{"date-parts":[["2025",4,15]]},"issued":{"date-parts":[["2017",8,29]]},"citation-key":"lavia2017"}}],"schema":"https://github.com/citation-style-language/schema/raw/master/csl-citation.json"} </w:instrText>
      </w:r>
      <w:r w:rsidR="00C514F8">
        <w:fldChar w:fldCharType="separate"/>
      </w:r>
      <w:r w:rsidR="00C514F8">
        <w:rPr>
          <w:noProof/>
        </w:rPr>
        <w:t>(Lavia et al., 2017)</w:t>
      </w:r>
      <w:r w:rsidR="00C514F8">
        <w:fldChar w:fldCharType="end"/>
      </w:r>
      <w:r w:rsidR="00C514F8">
        <w:t xml:space="preserve">. </w:t>
      </w:r>
    </w:p>
    <w:p w14:paraId="74AC6691" w14:textId="77777777" w:rsidR="00A2654F" w:rsidRDefault="00A2654F" w:rsidP="003A0B82">
      <w:pPr>
        <w:spacing w:line="360" w:lineRule="auto"/>
        <w:jc w:val="both"/>
      </w:pPr>
    </w:p>
    <w:p w14:paraId="6D69805B" w14:textId="6BEEC4D7" w:rsidR="00F5594E" w:rsidRDefault="00585E86" w:rsidP="003A0B82">
      <w:pPr>
        <w:spacing w:line="360" w:lineRule="auto"/>
        <w:jc w:val="both"/>
      </w:pPr>
      <w:r>
        <w:t>Compared with trabeculectomy, MIGS offer a less drastic IOP reduction</w:t>
      </w:r>
      <w:r w:rsidR="00CF5B71">
        <w:t>.</w:t>
      </w:r>
      <w:r w:rsidR="00DD4EA0">
        <w:t xml:space="preserve"> </w:t>
      </w:r>
      <w:r w:rsidR="00CF5B71">
        <w:t xml:space="preserve">Long-term data support the sustained efficacy of MIGS procedures. The HORIZON five-year randomized controlled trial for the Hydrus Microstent reported that 49.5% of patients achieved IOP &lt;18 mmHg without medication at five years. Only 2.4% of patients required reoperations, compared to 6.2% in patients with POAG who underwent cataract surgery alone </w:t>
      </w:r>
      <w:r w:rsidR="00C514F8">
        <w:fldChar w:fldCharType="begin"/>
      </w:r>
      <w:r w:rsidR="00C514F8">
        <w:instrText xml:space="preserve"> ADDIN ZOTERO_ITEM CSL_CITATION {"citationID":"xJoBAQCk","properties":{"formattedCitation":"(Ahmed et al., 2022; Bicket et al., 2021; Otarola et al., 2020)","plainCitation":"(Ahmed et al., 2022; Bicket et al., 2021; Otarola et al., 2020)","noteIndex":0},"citationItems":[{"id":373,"uris":["http://zotero.org/users/15573016/items/QV37C6IE"],"itemData":{"id":373,"type":"article-journal","container-title":"Ophthalmology","DOI":"10.1016/j.ophtha.2022.02.021","ISSN":"01616420","issue":"7","journalAbbreviation":"Ophthalmology","language":"en","page":"742-751","source":"DOI.org (Crossref)","title":"Long-term Outcomes from the HORIZON Randomized Trial for a Schlemm’s Canal Microstent in Combination Cataract and Glaucoma Surgery","URL":"https://linkinghub.elsevier.com/retrieve/pii/S0161642022001609","volume":"129","author":[{"family":"Ahmed","given":"Iqbal Ike K."},{"family":"De Francesco","given":"Ticiana"},{"family":"Rhee","given":"Douglas"},{"family":"McCabe","given":"Cathleen"},{"family":"Flowers","given":"Brian"},{"family":"Gazzard","given":"Gus"},{"family":"Samuelson","given":"Thomas W."},{"family":"Singh","given":"Kuldev"}],"accessed":{"date-parts":[["2025",1,29]]},"issued":{"date-parts":[["2022",7]]},"citation-key":"ahmed2022"}},{"id":1689,"uris":["http://zotero.org/users/15573016/items/HNUVY98V"],"itemData":{"id":1689,"type":"article-journal","container-title":"JAMA Ophthalmology","DOI":"10.1001/jamaophthalmol.2021.2351","ISSN":"2168-6165","issue":"9","journalAbbreviation":"JAMA Ophthalmol","language":"en","page":"983","source":"DOI.org (Crossref)","title":"Minimally Invasive Glaucoma Surgical Techniques for Open-Angle Glaucoma: An Overview of Cochrane Systematic Reviews and Network Meta-analysis","title-short":"Minimally Invasive Glaucoma Surgical Techniques for Open-Angle Glaucoma","URL":"https://jamanetwork.com/journals/jamaophthalmology/fullarticle/2781900","volume":"139","author":[{"family":"Bicket","given":"Amanda K."},{"family":"Le","given":"Jimmy T."},{"family":"Azuara-Blanco","given":"Augusto"},{"family":"Gazzard","given":"Gus"},{"family":"Wormald","given":"Richard"},{"family":"Bunce","given":"Catey"},{"family":"Hu","given":"Kuang"},{"family":"Jayaram","given":"Hari"},{"family":"King","given":"Anthony"},{"family":"Otárola","given":"Francisco"},{"family":"Nikita","given":"Eleni"},{"family":"Shah","given":"Anupa"},{"family":"Stead","given":"Richard"},{"family":"Tóth","given":"Márta"},{"family":"Li","given":"Tianjing"}],"accessed":{"date-parts":[["2025",7,1]]},"issued":{"date-parts":[["2021",9,1]]},"citation-key":"bicket2021b"}},{"id":2293,"uris":["http://zotero.org/users/15573016/items/E4YJK9RF"],"itemData":{"id":2293,"type":"article-journal","container-title":"Cochrane Database of Systematic Reviews","DOI":"10.1002/14651858.CD012740.pub2","ISSN":"14651858","issue":"3","language":"en","source":"DOI.org (Crossref)","title":"Ab interno trabecular bypass surgery with Schlemm´s canal microstent (Hydrus) for open angle glaucoma","URL":"http://doi.wiley.com/10.1002/14651858.CD012740.pub2","volume":"2020","author":[{"family":"Otarola","given":"Francisco"},{"family":"Virgili","given":"Gianni"},{"family":"Shah","given":"Anupa"},{"family":"Hu","given":"Kuang"},{"family":"Bunce","given":"Catey"},{"family":"Gazzard","given":"Gus"}],"editor":[{"literal":"Cochrane Eyes and Vision Group"}],"accessed":{"date-parts":[["2025",10,29]]},"issued":{"date-parts":[["2020",3,9]]},"citation-key":"otarola2020c"}}],"schema":"https://github.com/citation-style-language/schema/raw/master/csl-citation.json"} </w:instrText>
      </w:r>
      <w:r w:rsidR="00C514F8">
        <w:fldChar w:fldCharType="separate"/>
      </w:r>
      <w:r w:rsidR="00C514F8">
        <w:rPr>
          <w:noProof/>
        </w:rPr>
        <w:t>(Ahmed et al., 2022; Bicket et al., 2021; Otarola et al., 2020)</w:t>
      </w:r>
      <w:r w:rsidR="00C514F8">
        <w:fldChar w:fldCharType="end"/>
      </w:r>
      <w:r w:rsidR="00C514F8">
        <w:t xml:space="preserve">. </w:t>
      </w:r>
      <w:r w:rsidR="00DD4EA0">
        <w:t>S</w:t>
      </w:r>
      <w:r w:rsidR="00CF5B71">
        <w:t xml:space="preserve">tandalone </w:t>
      </w:r>
      <w:r w:rsidR="00DD4EA0">
        <w:t xml:space="preserve">iStent </w:t>
      </w:r>
      <w:r w:rsidR="00CF5B71">
        <w:t xml:space="preserve">implantation in mild-to-moderate POAG </w:t>
      </w:r>
      <w:r w:rsidR="00DD4EA0">
        <w:t>patients resulted in</w:t>
      </w:r>
      <w:r w:rsidR="00CF5B71">
        <w:t xml:space="preserve"> medication-free IOP control in 86.2% of </w:t>
      </w:r>
      <w:r w:rsidR="00EC587B">
        <w:t>patients</w:t>
      </w:r>
      <w:r w:rsidR="00CF5B71">
        <w:t xml:space="preserve"> at five years, with no eyes requiring reoperation </w:t>
      </w:r>
      <w:r w:rsidR="00C514F8">
        <w:fldChar w:fldCharType="begin"/>
      </w:r>
      <w:r w:rsidR="00C514F8">
        <w:instrText xml:space="preserve"> ADDIN ZOTERO_ITEM CSL_CITATION {"citationID":"Zb3XpiuB","properties":{"formattedCitation":"(Clement et al., 2022; Hengerer et al., 2022; Popovic et al., 2018)","plainCitation":"(Clement et al., 2022; Hengerer et al., 2022; Popovic et al., 2018)","noteIndex":0},"citationItems":[{"id":1693,"uris":["http://zotero.org/users/15573016/items/PV3Z9RQN"],"itemData":{"id":1693,"type":"article-journal","container-title":"Clinical Ophthalmology","DOI":"10.2147/OPTH.S373290","ISSN":"1177-5483","journalAbbreviation":"OPTH","language":"en","license":"https://creativecommons.org/licenses/by-nc/3.0/","page":"2955-2968","source":"DOI.org (Crossref)","title":"Multicenter Effectiveness and Disease Stability Through 3 Years After iStentTrabecular Micro-Bypass with Phacoemulsification in Glaucoma and Ocular Hypertension","URL":"https://www.dovepress.com/multicenter-effectiveness-and-disease-stability-through-3-years-after--peer-reviewed-fulltext-article-OPTH","volume":"Volume 16","author":[{"family":"Clement","given":"Colin"},{"family":"Howes","given":"Frank"},{"family":"Ioannidis","given":"Alexandros"},{"family":"Shiu","given":"Michael"},{"family":"Manning","given":"David"},{"family":"Lusthaus","given":"Jed A"},{"family":"Skalicky","given":"Simon E"},{"family":"Goodwin","given":"Todd W"}],"accessed":{"date-parts":[["2025",7,1]]},"issued":{"date-parts":[["2022",9]]},"citation-key":"clement2022"}},{"id":1691,"uris":["http://zotero.org/users/15573016/items/PLM6LY94"],"itemData":{"id":1691,"type":"article-journal","container-title":"Advances in Therapy","DOI":"10.1007/s12325-021-02039-4","ISSN":"0741-238X, 1865-8652","issue":"3","journalAbbreviation":"Adv Ther","language":"en","page":"1417-1431","source":"DOI.org (Crossref)","title":"iStent inject Trabecular Micro-Bypass with or Without Cataract Surgery Yields Sustained 5-Year Glaucoma Control","URL":"https://link.springer.com/10.1007/s12325-021-02039-4","volume":"39","author":[{"family":"Hengerer","given":"Fritz H."},{"family":"Auffarth","given":"Gerd U."},{"family":"Conrad-Hengerer","given":"Ina"}],"accessed":{"date-parts":[["2025",7,1]]},"issued":{"date-parts":[["2022",3]]},"citation-key":"hengerer2022"}},{"id":959,"uris":["http://zotero.org/users/15573016/items/NL8JSHLH"],"itemData":{"id":959,"type":"article-journal","abstract":"ABSTRACT Aim This meta-analysis explores the efficacy and adverse even t profile of the iStent, an ab interno implant for the treatment of op en-angle glaucoma. Methods A systematic literature search of Ovid MEDL INE and EMBASE was used to identify peer-reviewed original studies tha t provided efficacy data on the first or second generation iStent for at least five eyes. Intraocular pressure (IOP) was the primary efficac y endpoint, while the number of medication classes was the secondary o utcome. Weighted mean differences were reported for continuous endpoin ts, while a relative risk was computed for dichotomous variables. Revi ew Results The search revealed 545 results, of which 1767 eyes from 28 studies were included. The cohort age was 71.4 ± 5.4 years, and 44.9% of patients were male. There was a significantly greater IOP reductio n after the use of two first-generation stents compared to one, irresp ective of phacoemulsification status (p &lt; 0.001). Additionally, there was a significantly greater IOP reduction following iStent alone relat ive to phaco-iStent for the first-generation iStent (p &lt; 0.001) and th e iStent inject (p &lt; 0.001). For the first generation stent, combined phaco-iStent provided a greater level of IOP reduction (p &lt; 0.001) and reduction in the number of medication classes relative to phacoemulsi fication alone (p &lt; 0.001). In total, 22.5% of eyes that received iSte nt implantation sustained some type of adverse event. The most common adverse events were intraocular pressure elevation, stent blockage or obstruction, stent malposition and hyphema. Conclusion and Clinical Si gnificance Statistically significant differences in efficacy outcomes exist between different numbers of stents and the presence or absence of concurrent phacoemulsification. How to cite this article: Popovic M , Campos-Moller X, Saheb H, Ahmed IIK. Efficacy and Adverse Event Prof ile of the iStent and iStent Inject Trabecular Micro-bypass for Open-a ngle Glaucoma: A Meta-analysis. J Curr Glaucoma Pract 2018;12(2):67-84 .","archive":"Crossref","container-title":"Journal of Current Glaucoma Practice","DOI":"10.5005/jp-journals-10028-1248","ISSN":"0974-0333","issue":"2","language":"en","page":"67-84","title":"Efficacy and Adverse Event Profile of the iStent and iStent Inject Tra becular Micro-bypass for Open-angle Glaucoma: A Meta-analysis","URL":"http://dx.doi.org/10.5005/jp-journals-10028-1248","volume":"12","author":[{"family":"Popovic","given":"Marko"},{"family":"Campos-Möller","given":"Xavier"},{"family":"Saheb","given":"Hady"},{"family":"Ahmed","given":"Iqbal Ike K"}],"issued":{"date-parts":[["2018"]]},"citation-key":"popovic2018"}}],"schema":"https://github.com/citation-style-language/schema/raw/master/csl-citation.json"} </w:instrText>
      </w:r>
      <w:r w:rsidR="00C514F8">
        <w:fldChar w:fldCharType="separate"/>
      </w:r>
      <w:r w:rsidR="00C514F8">
        <w:rPr>
          <w:noProof/>
        </w:rPr>
        <w:t>(Clement et al., 2022; Hengerer et al., 2022; Popovic et al., 2018)</w:t>
      </w:r>
      <w:r w:rsidR="00C514F8">
        <w:fldChar w:fldCharType="end"/>
      </w:r>
      <w:r w:rsidR="00CF5B71">
        <w:t>.</w:t>
      </w:r>
      <w:r w:rsidR="00DD4EA0">
        <w:t xml:space="preserve"> </w:t>
      </w:r>
      <w:r w:rsidR="00CF5B71">
        <w:t xml:space="preserve">Trabectome procedures </w:t>
      </w:r>
      <w:r>
        <w:t>have</w:t>
      </w:r>
      <w:r w:rsidR="00CF5B71">
        <w:t xml:space="preserve"> been shown to achieve complete success (defined as mean IOP &lt;18 mmHg and a ≥20% reduction from baseline) in approximately 35% of patients at six years, with most patients continuing topical therapy</w:t>
      </w:r>
      <w:r>
        <w:t xml:space="preserve"> </w:t>
      </w:r>
      <w:r w:rsidR="00657FE7">
        <w:fldChar w:fldCharType="begin"/>
      </w:r>
      <w:r w:rsidR="00657FE7">
        <w:instrText xml:space="preserve"> ADDIN ZOTERO_ITEM CSL_CITATION {"citationID":"R34nDEIq","properties":{"formattedCitation":"(Kono et al., 2020; Weber et al., 2023)","plainCitation":"(Kono et al., 2020; Weber et al., 2023)","noteIndex":0},"citationItems":[{"id":1695,"uris":["http://zotero.org/users/15573016/items/MAYNGZ2Z"],"itemData":{"id":1695,"type":"article-journal","container-title":"Graefe's Archive for Clinical and Experimental Ophthalmology","DOI":"10.1007/s00417-020-04897-0","ISSN":"0721-832X, 1435-702X","issue":"11","journalAbbreviation":"Graefes Arch Clin Exp Ophthalmol","language":"en","page":"2467-2476","source":"DOI.org (Crossref)","title":"Long-term clinical results of trabectome surgery in patients with open-angle glaucoma","URL":"https://link.springer.com/10.1007/s00417-020-04897-0","volume":"258","author":[{"family":"Kono","given":"Yusuke"},{"family":"Kasahara","given":"Masayuki"},{"family":"Hirasawa","given":"Kazunori"},{"family":"Tsujisawa","given":"Tatsuhiko"},{"family":"Kanayama","given":"Shunsuke"},{"family":"Matsumura","given":"Kazuhiro"},{"family":"Morita","given":"Tetsuya"},{"family":"Shoji","given":"Nobuyuki"}],"accessed":{"date-parts":[["2025",7,1]]},"issued":{"date-parts":[["2020",11]]},"citation-key":"kono2020"}},{"id":1696,"uris":["http://zotero.org/users/15573016/items/G7P9JJYL"],"itemData":{"id":1696,"type":"article-journal","abstract":"Précis:\n              This retrospective study of 264 eyes having inferior quadrant trabectome surgery confirms its safety and relative effectiveness. Most patients however still require IOP-lowering agents, and a considerable proportion may need additional glaucoma surgery.\n            \n            \n              Purpose:\n              To report outcomes from a large single-center cohort of inferiorly-applied trabectome surgery.\n            \n            \n              Patients and Methods:\n              Retrospective review of patients undergoing trabectome surgery for chronic open angle glaucoma (COAG) at the University Eye Clinic Bonn, Germany, from 2012 to 2020.\n            \n            \n              Results:\n              Two hundred sixty-four eyes of 206 patients with COAG were included. The mean review period was 45.43 (range 12–101) months. One hundred five eyes (39.8%) underwent standalone surgery, of which 74 were pseudophakic and 31 phakic. The mean preoperative IOP was 17.58 mm Hg (range 12–50 mm Hg). One hundred five eyes (39.8%) developed a ‘failure event’ according to pre-defined criteria at a mean interval of 14.8 months postoperative. In absolute terms, 211 patients (79.9%) had a long-term IOP &gt;14 mm Hg at 7.6 months, 174 patients (65.9%) &gt;16 mm Hg at 10.6 months, 127 patients (48.1%) &gt;18 mm Hg at 10.9 months, and 77 patients (29.2%) &gt;21 mm Hg at 11.1 months. Over a five-year period, overall mean IOP remained stable at 13 mm Hg. The majority of patients were still on glaucoma drops (the mean number reduced from 2.9 to 2.7 agents). Subgroup analyses showed that a higher preoperative IOP was a positive predictor for failure, whereas combined surgery (with phaco) had better IOP outcomes (16.5 mm Hg vs. 19.3 mm Hg, respectively). Forty-one patients (15.5%) developed minor complications: 22 had high postoperative IOP within 3 months, 11 developed a self-resorbing hyphema, and 6 had fibrinous uveitis.\n            \n            \n              Conclusions:\n              Trabectome surgery is a safe and relatively effective procedure for lowering IOP, but most patients still need IOP-lowering agents, and a considerable proportion may need additional glaucoma surgery within a relatively short time. Inferior quadrant treatment may result in inferior IOP outcomes when compared with nasal quadrant surgery.","container-title":"Journal of Glaucoma","DOI":"10.1097/IJG.0000000000002164","ISSN":"1057-0829","issue":"6","language":"en","page":"480-488","source":"DOI.org (Crossref)","title":"Five-Year Clinical Outcomes of Inferior Quadrant Trabectome Surgery for Open Angle Glaucoma","URL":"https://journals.lww.com/10.1097/IJG.0000000000002164","volume":"32","author":[{"family":"Weber","given":"Constance"},{"family":"Ludwig","given":"Elisabeth"},{"family":"Hundertmark","given":"Sarah"},{"family":"Brinkmann","given":"Christian Karl"},{"family":"Petrak","given":"Michael"},{"family":"Holz","given":"Frank G."},{"family":"Mercieca","given":"Karl"}],"accessed":{"date-parts":[["2025",7,1]]},"issued":{"date-parts":[["2023",6]]},"citation-key":"weber2023"}}],"schema":"https://github.com/citation-style-language/schema/raw/master/csl-citation.json"} </w:instrText>
      </w:r>
      <w:r w:rsidR="00657FE7">
        <w:fldChar w:fldCharType="separate"/>
      </w:r>
      <w:r w:rsidR="00657FE7">
        <w:rPr>
          <w:noProof/>
        </w:rPr>
        <w:t>(Kono et al., 2020; Weber et al., 2023)</w:t>
      </w:r>
      <w:r w:rsidR="00657FE7">
        <w:fldChar w:fldCharType="end"/>
      </w:r>
      <w:r w:rsidR="00CF5B71">
        <w:t>.</w:t>
      </w:r>
      <w:r w:rsidR="00DD4EA0">
        <w:t xml:space="preserve"> </w:t>
      </w:r>
      <w:r>
        <w:t>After</w:t>
      </w:r>
      <w:r w:rsidR="00CF5B71">
        <w:t xml:space="preserve"> GATT, patients with moderate glaucoma achieved a 43.8% complete success rate at one year and 37.6% in advanced cases</w:t>
      </w:r>
      <w:r>
        <w:t xml:space="preserve">. </w:t>
      </w:r>
      <w:r w:rsidR="00CF5B71">
        <w:t xml:space="preserve"> </w:t>
      </w:r>
      <w:r>
        <w:t>Whilst</w:t>
      </w:r>
      <w:r w:rsidR="00CF5B71">
        <w:t xml:space="preserve"> the overall surgical success rate was around 75% at three years of follow-up. However, </w:t>
      </w:r>
      <w:r>
        <w:t>some</w:t>
      </w:r>
      <w:r w:rsidR="00CF5B71">
        <w:t xml:space="preserve"> patients continued to rely on medications </w:t>
      </w:r>
      <w:r w:rsidR="00657FE7">
        <w:fldChar w:fldCharType="begin"/>
      </w:r>
      <w:r w:rsidR="00657FE7">
        <w:instrText xml:space="preserve"> ADDIN ZOTERO_ITEM CSL_CITATION {"citationID":"JQR3QUSU","properties":{"formattedCitation":"(Aktas et al., 2022; Magacho et al., 2024)","plainCitation":"(Aktas et al., 2022; Magacho et al., 2024)","noteIndex":0},"citationItems":[{"id":1698,"uris":["http://zotero.org/users/15573016/items/RNDN369R"],"itemData":{"id":1698,"type":"article-journal","abstract":"Précis:\n              Gonioscopy-assisted transluminal trabeculotomy (GATT) provides greater intraocular pressure (IOP) reduction in pseudoexfoliative glaucoma (PXG) than in primary open angle glaucoma (POAG) in the first year of surgery; however, the difference between groups equalizes in the long term.\n            \n            \n              Purpose:\n              To compare outcomes of GATT in eyes with POAG and PXG.\n            \n            \n              Methods:\n              Single-center, retrospective, comparative case-series. A total of 202 eyes (91 eyes of POAG; 111 eyes of PXG) were included. GATT was performed as a standalone procedure or in combination with cataract extraction. Outcome measures were change in IOP and number of medications at all time points (1, 3, 6, 9, 12, 18, 24, and 36 mo after surgery), success rate (IOP reduction ≥20% from baseline or IOP between 6 and 21 mmHg, without further glaucoma surgery), and complication rate. Cumulative success probabilities were compared using Kaplan-Meier survival analyses.\n            \n            \n              Results:\n              \n                The mean IOP decreased by 8.8 mmHg (34.4%) in the POAG group with a mean decrease of 2 glaucoma medications at final visit. In the PXG group, the mean IOP decreased by 12.8 mm Hg (44.6%) on 2.3 fewer medications. Mean IOP reduction was significantly higher in PXG than POAG at all time points up to 2-year visit (\n                P\n                &lt;0.05 for all), after which the difference was not significant. Cumulative success probability during the first year was significantly higher in PXG (97.6%) than in POAG (86.8%) (\n                P\n                =0.01); no significant difference was found at 2-year (\n                P\n                =0.07) and 3-year visits (\n                P\n                =0.24).\n              \n            \n            \n              Conclusion:\n              GATT was safe and effectively reduced the IOP and medication burden in patients with POAG and PXG. In the first year after GATT, a significantly higher success rate was noted in PXG compared with POAG; however, in subsequent years, the success rate was similar at ~75%.","container-title":"Journal of Glaucoma","DOI":"10.1097/IJG.0000000000002063","ISSN":"1057-0829","issue":"9","language":"en","page":"751-756","source":"DOI.org (Crossref)","title":"Outcomes of Prolene Gonioscopy Assisted Transluminal Trabeculotomy in Primary Open Angle Glaucoma and Pseudoexfoliation Glaucoma: A Comparative Study","title-short":"Outcomes of Prolene Gonioscopy Assisted Transluminal Trabeculotomy in Primary Open Angle Glaucoma and Pseudoexfoliation Glaucoma","URL":"https://journals.lww.com/10.1097/IJG.0000000000002063","volume":"31","author":[{"family":"Aktas","given":"Zeynep"},{"family":"Ozdemir Zeydanli","given":"Ece"},{"family":"Uysal","given":"Betul Seher"},{"family":"Yigiter","given":"Ahmet"}],"accessed":{"date-parts":[["2025",7,1]]},"issued":{"date-parts":[["2022",9]]},"citation-key":"aktas2022"}},{"id":1697,"uris":["http://zotero.org/users/15573016/items/LL36AXSP"],"itemData":{"id":1697,"type":"article-journal","container-title":"American Journal of Ophthalmology","DOI":"10.1016/j.ajo.2024.02.033","ISSN":"00029394","journalAbbreviation":"American Journal of Ophthalmology","language":"en","page":"75-84","source":"DOI.org (Crossref)","title":"Gonioscopy-Assisted Transluminal Trabeculotomy Outcomes Under Different Levels of Glaucoma Severity: A Multicenter, Comparative Study","title-short":"Gonioscopy-Assisted Transluminal Trabeculotomy Outcomes Under Different Levels of Glaucoma Severity","URL":"https://linkinghub.elsevier.com/retrieve/pii/S0002939424000898","volume":"264","author":[{"family":"Magacho","given":"Leopoldo"},{"family":"Franco","given":"Cláudia Gomide Vilela De S."},{"family":"I","given":"Eduardo Akio"},{"family":"Pereira","given":"Ana Cláudia Alves"},{"family":"Teno","given":"Bruno"},{"family":"Lucena-Neto","given":"Francisco"},{"family":"Faria","given":"Bruno M."},{"family":"Vieira","given":"Júlia Maggi"},{"family":"Vianello","given":"Marcos Pereira"},{"family":"Kanadani","given":"Fábio N."}],"accessed":{"date-parts":[["2025",7,1]]},"issued":{"date-parts":[["2024",8]]},"citation-key":"magacho2024"}}],"schema":"https://github.com/citation-style-language/schema/raw/master/csl-citation.json"} </w:instrText>
      </w:r>
      <w:r w:rsidR="00657FE7">
        <w:fldChar w:fldCharType="separate"/>
      </w:r>
      <w:r w:rsidR="00657FE7">
        <w:rPr>
          <w:noProof/>
        </w:rPr>
        <w:t>(Aktas et al., 2022; Magacho et al., 2024)</w:t>
      </w:r>
      <w:r w:rsidR="00657FE7">
        <w:fldChar w:fldCharType="end"/>
      </w:r>
      <w:r w:rsidR="00CF5B71">
        <w:t>.</w:t>
      </w:r>
    </w:p>
    <w:p w14:paraId="722A22A2" w14:textId="77777777" w:rsidR="00EC587B" w:rsidRDefault="00EC587B" w:rsidP="00EC587B">
      <w:pPr>
        <w:spacing w:line="360" w:lineRule="auto"/>
        <w:jc w:val="both"/>
      </w:pPr>
    </w:p>
    <w:p w14:paraId="052FE45B" w14:textId="49077254" w:rsidR="001861FE" w:rsidRDefault="00585E86" w:rsidP="00EC587B">
      <w:pPr>
        <w:spacing w:line="360" w:lineRule="auto"/>
        <w:jc w:val="both"/>
      </w:pPr>
      <w:r>
        <w:t>Reported postoperative complications after MIGS</w:t>
      </w:r>
      <w:r w:rsidR="00A2654F">
        <w:t xml:space="preserve"> (</w:t>
      </w:r>
      <w:r w:rsidR="00A2654F" w:rsidRPr="00A2654F">
        <w:rPr>
          <w:i/>
          <w:iCs/>
        </w:rPr>
        <w:fldChar w:fldCharType="begin"/>
      </w:r>
      <w:r w:rsidR="00A2654F" w:rsidRPr="00A2654F">
        <w:rPr>
          <w:i/>
          <w:iCs/>
        </w:rPr>
        <w:instrText xml:space="preserve"> REF _Ref213182293 \h </w:instrText>
      </w:r>
      <w:r w:rsidR="00A2654F" w:rsidRPr="00A2654F">
        <w:rPr>
          <w:i/>
          <w:iCs/>
        </w:rPr>
      </w:r>
      <w:r w:rsidR="00A2654F">
        <w:rPr>
          <w:i/>
          <w:iCs/>
        </w:rPr>
        <w:instrText xml:space="preserve"> \* MERGEFORMAT </w:instrText>
      </w:r>
      <w:r w:rsidR="00A2654F" w:rsidRPr="00A2654F">
        <w:rPr>
          <w:i/>
          <w:iCs/>
        </w:rPr>
        <w:fldChar w:fldCharType="separate"/>
      </w:r>
      <w:r w:rsidR="00A2654F" w:rsidRPr="00A2654F">
        <w:rPr>
          <w:i/>
          <w:iCs/>
        </w:rPr>
        <w:t xml:space="preserve">Table </w:t>
      </w:r>
      <w:r w:rsidR="00A2654F" w:rsidRPr="00A2654F">
        <w:rPr>
          <w:i/>
          <w:iCs/>
          <w:noProof/>
        </w:rPr>
        <w:t>4</w:t>
      </w:r>
      <w:r w:rsidR="00A2654F" w:rsidRPr="00A2654F">
        <w:rPr>
          <w:i/>
          <w:iCs/>
        </w:rPr>
        <w:fldChar w:fldCharType="end"/>
      </w:r>
      <w:r w:rsidR="00A2654F">
        <w:t>)</w:t>
      </w:r>
      <w:r>
        <w:t xml:space="preserve"> procedures are generally mild and self-limited. This is probably linked to the tissue-sparing, less invasive approach. However, localized haemorrhagic and device-related complications may occur.</w:t>
      </w:r>
      <w:r w:rsidR="00F5594E">
        <w:t xml:space="preserve"> </w:t>
      </w:r>
      <w:r w:rsidR="001861FE">
        <w:t>Early postoperative complications (≤ 90 days) are predominantly mild, transient, and</w:t>
      </w:r>
      <w:r>
        <w:t xml:space="preserve"> can be </w:t>
      </w:r>
      <w:r w:rsidR="001861FE">
        <w:t xml:space="preserve">linked to intraoperative trauma to the trabecular meshwork or Schlemm’s canal. The most </w:t>
      </w:r>
      <w:r>
        <w:t xml:space="preserve">reported complication </w:t>
      </w:r>
      <w:r w:rsidR="001861FE">
        <w:t>is transient hyphema</w:t>
      </w:r>
      <w:r>
        <w:t>. It has been</w:t>
      </w:r>
      <w:r w:rsidR="001861FE">
        <w:t xml:space="preserve"> reported in up to 40% </w:t>
      </w:r>
      <w:r>
        <w:t>of</w:t>
      </w:r>
      <w:r w:rsidR="001861FE">
        <w:t xml:space="preserve"> Hydrus Microstent cases, 11–33% with Trabectome, and approximately 30% following GATT</w:t>
      </w:r>
      <w:r w:rsidR="00657FE7">
        <w:t xml:space="preserve"> </w:t>
      </w:r>
      <w:r w:rsidR="00657FE7">
        <w:fldChar w:fldCharType="begin"/>
      </w:r>
      <w:r w:rsidR="00A81DFE">
        <w:instrText xml:space="preserve"> ADDIN ZOTERO_ITEM CSL_CITATION {"citationID":"S3tJiMzA","properties":{"formattedCitation":"(Grover et al., 2014; Hu et al., 2021; Otarola et al., 2020)","plainCitation":"(Grover et al., 2014; Hu et al., 2021; Otarola et al., 2020)","noteIndex":0},"citationItems":[{"id":1834,"uris":["http://zotero.org/users/15573016/items/IXUCR934"],"itemData":{"id":1834,"type":"article-journal","container-title":"Ophthalmology","DOI":"10.1016/j.ophtha.2013.11.001","ISSN":"01616420","issue":"4","journalAbbreviation":"Ophthalmology","language":"en","license":"https://www.elsevier.com/tdm/userlicense/1.0/","page":"855-861","source":"DOI.org (Crossref)","title":"Gonioscopy-Assisted Transluminal Trabeculotomy, Ab Interno Trabeculotomy","URL":"https://linkinghub.elsevier.com/retrieve/pii/S0161642013010592","volume":"121","author":[{"family":"Grover","given":"Davinder S."},{"family":"Godfrey","given":"David G."},{"family":"Smith","given":"Oluwatosin"},{"family":"Feuer","given":"William J."},{"family":"Montes De Oca","given":"Ildamaris"},{"family":"Fellman","given":"Ronald L."}],"accessed":{"date-parts":[["2025",7,1]]},"issued":{"date-parts":[["2014",4]]},"citation-key":"grover2014a"}},{"id":2292,"uris":["http://zotero.org/users/15573016/items/3U3YE73R"],"itemData":{"id":2292,"type":"article-journal","container-title":"Cochrane Database of Systematic Reviews","DOI":"10.1002/14651858.CD011693.pub3","ISSN":"14651858","issue":"2","language":"en","source":"DOI.org (Crossref)","title":"Ab interno trabecular bypass surgery with Trabectome for open-angle glaucoma","URL":"http://doi.wiley.com/10.1002/14651858.CD011693.pub3","volume":"2021","editor":[{"literal":"Cochrane Eyes and Vision Group"}],"author":[{"family":"Hu","given":"Kuang"},{"family":"Shah","given":"Anupa"},{"family":"Virgili","given":"Gianni"},{"family":"Bunce","given":"Catey"},{"family":"Gazzard","given":"Gus"}],"accessed":{"date-parts":[["2025",10,29]]},"issued":{"date-parts":[["2021",2,4]]},"citation-key":"hu2021b"}},{"id":2293,"uris":["http://zotero.org/users/15573016/items/E4YJK9RF"],"itemData":{"id":2293,"type":"article-journal","container-title":"Cochrane Database of Systematic Reviews","DOI":"10.1002/14651858.CD012740.pub2","ISSN":"14651858","issue":"3","language":"en","source":"DOI.org (Crossref)","title":"Ab interno trabecular bypass surgery with Schlemm´s canal microstent (Hydrus) for open angle glaucoma","URL":"http://doi.wiley.com/10.1002/14651858.CD012740.pub2","volume":"2020","author":[{"family":"Otarola","given":"Francisco"},{"family":"Virgili","given":"Gianni"},{"family":"Shah","given":"Anupa"},{"family":"Hu","given":"Kuang"},{"family":"Bunce","given":"Catey"},{"family":"Gazzard","given":"Gus"}],"editor":[{"literal":"Cochrane Eyes and Vision Group"}],"accessed":{"date-parts":[["2025",10,29]]},"issued":{"date-parts":[["2020",3,9]]},"citation-key":"otarola2020c"}}],"schema":"https://github.com/citation-style-language/schema/raw/master/csl-citation.json"} </w:instrText>
      </w:r>
      <w:r w:rsidR="00657FE7">
        <w:fldChar w:fldCharType="separate"/>
      </w:r>
      <w:r w:rsidR="00A81DFE">
        <w:rPr>
          <w:noProof/>
        </w:rPr>
        <w:t>(Grover et al., 2014; Hu et al., 2021; Otarola et al., 2020)</w:t>
      </w:r>
      <w:r w:rsidR="00657FE7">
        <w:fldChar w:fldCharType="end"/>
      </w:r>
      <w:r w:rsidR="001861FE">
        <w:t xml:space="preserve">. </w:t>
      </w:r>
      <w:r w:rsidR="00724594">
        <w:t xml:space="preserve">The occurrence of hyphema can be explained by </w:t>
      </w:r>
      <w:r w:rsidR="001861FE">
        <w:t>blood reflux through Schlemm’s canal after ab interno trabeculotomy or viscodilation</w:t>
      </w:r>
      <w:r w:rsidR="00724594">
        <w:t xml:space="preserve">. The hyphema </w:t>
      </w:r>
      <w:r w:rsidR="001861FE">
        <w:t>usually clear</w:t>
      </w:r>
      <w:r w:rsidR="00724594">
        <w:t>s</w:t>
      </w:r>
      <w:r w:rsidR="001861FE">
        <w:t xml:space="preserve"> spontaneously within a few days without sequelae. IOP spikes represent the second most common event, occurring in 1–33% of iStent eyes, 6% after Hydrus implantation, and up to 26% after Trabectome procedures </w:t>
      </w:r>
      <w:r w:rsidR="00657FE7">
        <w:fldChar w:fldCharType="begin"/>
      </w:r>
      <w:r w:rsidR="00657FE7">
        <w:instrText xml:space="preserve"> ADDIN ZOTERO_ITEM CSL_CITATION {"citationID":"WBl06bjj","properties":{"formattedCitation":"(Le et al., 2019; Yook et al., 2018)","plainCitation":"(Le et al., 2019; Yook et al., 2018)","noteIndex":0},"citationItems":[{"id":2294,"uris":["http://zotero.org/users/15573016/items/P8RL46GB"],"itemData":{"id":2294,"type":"article-journal","container-title":"Cochrane Database of Systematic Reviews","DOI":"10.1002/14651858.CD012743.pub2","ISSN":"14651858","issue":"3","language":"en","source":"DOI.org (Crossref)","title":"Ab interno trabecular bypass surgery with iStent for open-angle glaucoma","URL":"https://doi.wiley.com/10.1002/14651858.CD012743.pub2","volume":"2019","author":[{"family":"Le","given":"Jimmy T"},{"family":"Bicket","given":"Amanda K"},{"family":"Wang","given":"Lin"},{"family":"Li","given":"Tianjing"}],"editor":[{"literal":"Cochrane Eyes and Vision Group"}],"accessed":{"date-parts":[["2025",10,29]]},"issued":{"date-parts":[["2019",3,28]]},"citation-key":"le2019c"}},{"id":1647,"uris":["http://zotero.org/users/15573016/items/DR9XITUM"],"itemData":{"id":1647,"type":"article-journal","container-title":"Current Opinion in Ophthalmology","DOI":"10.1097/ICU.0000000000000457","ISSN":"1040-8738","issue":"2","language":"en","page":"147-154","source":"DOI.org (Crossref)","title":"Complications of micro-invasive glaucoma surgery","URL":"https://journals.lww.com/00055735-201803000-00008","volume":"29","author":[{"family":"Yook","given":"Eunmee"},{"family":"Vinod","given":"Kateki"},{"family":"Panarelli","given":"Joseph F."}],"accessed":{"date-parts":[["2025",6,30]]},"issued":{"date-parts":[["2018",3]]},"citation-key":"yook2018"}}],"schema":"https://github.com/citation-style-language/schema/raw/master/csl-citation.json"} </w:instrText>
      </w:r>
      <w:r w:rsidR="00657FE7">
        <w:fldChar w:fldCharType="separate"/>
      </w:r>
      <w:r w:rsidR="00657FE7">
        <w:rPr>
          <w:noProof/>
        </w:rPr>
        <w:t>(Le et al., 2019; Yook et al., 2018)</w:t>
      </w:r>
      <w:r w:rsidR="00657FE7">
        <w:fldChar w:fldCharType="end"/>
      </w:r>
      <w:r w:rsidR="00657FE7">
        <w:t xml:space="preserve">. </w:t>
      </w:r>
      <w:r w:rsidR="001861FE">
        <w:t xml:space="preserve">These transient </w:t>
      </w:r>
      <w:r w:rsidR="00724594">
        <w:t xml:space="preserve">IOP </w:t>
      </w:r>
      <w:r w:rsidR="001861FE">
        <w:t>elevations</w:t>
      </w:r>
      <w:r w:rsidR="00724594">
        <w:t xml:space="preserve"> are described to be caused by </w:t>
      </w:r>
      <w:r w:rsidR="001861FE">
        <w:t>inflammatory debris or pigment obstruction at the stent ostium or collector channels</w:t>
      </w:r>
      <w:r w:rsidR="00724594">
        <w:t xml:space="preserve">. Moreover, the effect of IOP rise postoperatively can </w:t>
      </w:r>
      <w:r w:rsidR="001861FE">
        <w:t>occasionally</w:t>
      </w:r>
      <w:r w:rsidR="00724594">
        <w:t xml:space="preserve"> be</w:t>
      </w:r>
      <w:r w:rsidR="001861FE">
        <w:t xml:space="preserve"> potentiated by steroid response. Corneal edema and anterior chamber erythrocytes</w:t>
      </w:r>
      <w:r w:rsidR="00DD4EA0">
        <w:t xml:space="preserve"> (</w:t>
      </w:r>
      <w:r w:rsidR="001861FE">
        <w:t xml:space="preserve">reported </w:t>
      </w:r>
      <w:r w:rsidR="001861FE">
        <w:lastRenderedPageBreak/>
        <w:t>in 1–28% of eyes</w:t>
      </w:r>
      <w:r w:rsidR="00DD4EA0">
        <w:t xml:space="preserve">) </w:t>
      </w:r>
      <w:r w:rsidR="001861FE">
        <w:t xml:space="preserve">stem from transient endothelial stress during intraoperative gonioscopic manipulation or ablation-based energy use in Trabectome </w:t>
      </w:r>
      <w:r w:rsidR="00657FE7">
        <w:fldChar w:fldCharType="begin"/>
      </w:r>
      <w:r w:rsidR="00657FE7">
        <w:instrText xml:space="preserve"> ADDIN ZOTERO_ITEM CSL_CITATION {"citationID":"Ypka4vld","properties":{"formattedCitation":"(Jab\\uc0\\u322{}o\\uc0\\u324{}ska et al., 2023)","plainCitation":"(Jabłońska et al., 2023)","noteIndex":0},"citationItems":[{"id":1185,"uris":["http://zotero.org/users/15573016/items/P8HUGL63"],"itemData":{"id":1185,"type":"article-journal","abstract":"The paper presents the results of a 24-month-long observation comparing the effectiveness and safety of two micro-invasive glaucoma surgery (MIGS) devices: Hydrus Microstent and iStent Trabecular Bypass in combination with cataract phacoemulsification in the treatment of open-angle glaucoma. We also analyzed the impact of preoperative factors on achieving surgical success in both surgical methods. The prospective, comparative, non-randomized study included 65 glaucoma surgeries. In 35 patients (53.8%), an iStent implant procedure was performed, while 30 patients (46.2%) underwent a Hydrus implant procedure. The demographic data was similar in both treatment groups. At 24 months after surgery, the mean IOP in the iStent group was 15.9 ± 3.0 mmHg and in the Hydrus group 16.2 ± 1.8 mmHg. The difference between the mean iStent vs Hydrus after two years of treatment was −0.3 (p = 0.683). At the 24 month follow-up, the average change in the number of antiglaucoma medications used was 71.7% in the iStent group and 79.6% in the Hydrus group. The difference in mean percentage change between groups was 7.9% in favor of Hydrus. Patients under the age of 70 may benefit from a greater risk reduction in the Hydrus group (HR = 0.81), while those over the age of 70 may benefit from a risk reduction in the iStent group (HR = 1.33). IOP cases with &gt;18 mmHg before the surgery have a better chance of surgical success with the Hydrus method (HR = 0.28), and with IOP &lt; 18 mmHg in the iStent group (HR = 1.93). Cases with more drugs (≥3 drugs) are more favorable in the Hydrus group (HR = 0.23), while those with a maximum of two drugs have a better prognosis in the iStent group (HR = 2.23). The most common postoperative complication was the presence of erythrocytes in the anterior chamber (AC), found in 40.0% of operated eyes in the Hydrus group. The profile of observed complications and significant improvement in visual acuity allows us to consider both implants as a safe way of treating patients with early or moderate glaucoma and co-existing cataracts.","container-title":"International Journal of Environmental Research and Public Health","DOI":"10.3390/ijerph20054152","ISSN":"1660-4601","issue":"5","journalAbbreviation":"IJERPH","language":"en","license":"https://creativecommons.org/licenses/by/4.0/","page":"4152","source":"DOI.org (Crossref)","title":"Comparison of Safety and Efficacy of Hydrus and iStent Combined with Phacoemulsyfication in Open Angle Glaucoma Patients: 24-Month Follow-Up","title-short":"Comparison of Safety and Efficacy of Hydrus and iStent Combined with Phacoemulsyfication in Open Angle Glaucoma Patients","URL":"https://www.mdpi.com/1660-4601/20/5/4152","volume":"20","author":[{"family":"Jabłońska","given":"Joanna"},{"family":"Lewczuk","given":"Katarzyna"},{"family":"Rękas","given":"Marek Tadeusz"}],"accessed":{"date-parts":[["2025",4,15]]},"issued":{"date-parts":[["2023",2,25]]},"citation-key":"jablonska2023a"}}],"schema":"https://github.com/citation-style-language/schema/raw/master/csl-citation.json"} </w:instrText>
      </w:r>
      <w:r w:rsidR="00657FE7">
        <w:fldChar w:fldCharType="separate"/>
      </w:r>
      <w:r w:rsidR="00657FE7" w:rsidRPr="00657FE7">
        <w:t>(Jabłońska et al., 2023)</w:t>
      </w:r>
      <w:r w:rsidR="00657FE7">
        <w:fldChar w:fldCharType="end"/>
      </w:r>
      <w:r w:rsidR="00657FE7">
        <w:t xml:space="preserve">. </w:t>
      </w:r>
      <w:r w:rsidR="001861FE">
        <w:t>These effects resolve spontaneously, and long-term endothelial loss is uncommon.</w:t>
      </w:r>
    </w:p>
    <w:p w14:paraId="775A9B8F" w14:textId="77777777" w:rsidR="00EC587B" w:rsidRDefault="00EC587B" w:rsidP="003A0B82">
      <w:pPr>
        <w:spacing w:line="360" w:lineRule="auto"/>
        <w:jc w:val="both"/>
      </w:pPr>
    </w:p>
    <w:p w14:paraId="195820F2" w14:textId="680285D5" w:rsidR="001861FE" w:rsidRDefault="001861FE" w:rsidP="003A0B82">
      <w:pPr>
        <w:spacing w:line="360" w:lineRule="auto"/>
        <w:jc w:val="both"/>
      </w:pPr>
      <w:r>
        <w:t>Late complications (&gt; 90 days) are largely device- or fibrosis-related. The most frequent</w:t>
      </w:r>
      <w:r w:rsidR="00724594">
        <w:t>ly reported late complications</w:t>
      </w:r>
      <w:r>
        <w:t xml:space="preserve"> </w:t>
      </w:r>
      <w:r w:rsidR="00724594">
        <w:t>are</w:t>
      </w:r>
      <w:r>
        <w:t xml:space="preserve"> stent obstruction and malposition, occurring in up to 13% and 18% of iStent cases, respectively </w:t>
      </w:r>
      <w:r w:rsidR="00657FE7">
        <w:fldChar w:fldCharType="begin"/>
      </w:r>
      <w:r w:rsidR="00657FE7">
        <w:instrText xml:space="preserve"> ADDIN ZOTERO_ITEM CSL_CITATION {"citationID":"m8ThaarW","properties":{"formattedCitation":"(Le et al., 2019)","plainCitation":"(Le et al., 2019)","noteIndex":0},"citationItems":[{"id":2294,"uris":["http://zotero.org/users/15573016/items/P8RL46GB"],"itemData":{"id":2294,"type":"article-journal","container-title":"Cochrane Database of Systematic Reviews","DOI":"10.1002/14651858.CD012743.pub2","ISSN":"14651858","issue":"3","language":"en","source":"DOI.org (Crossref)","title":"Ab interno trabecular bypass surgery with iStent for open-angle glaucoma","URL":"https://doi.wiley.com/10.1002/14651858.CD012743.pub2","volume":"2019","author":[{"family":"Le","given":"Jimmy T"},{"family":"Bicket","given":"Amanda K"},{"family":"Wang","given":"Lin"},{"family":"Li","given":"Tianjing"}],"editor":[{"literal":"Cochrane Eyes and Vision Group"}],"accessed":{"date-parts":[["2025",10,29]]},"issued":{"date-parts":[["2019",3,28]]},"citation-key":"le2019c"}}],"schema":"https://github.com/citation-style-language/schema/raw/master/csl-citation.json"} </w:instrText>
      </w:r>
      <w:r w:rsidR="00657FE7">
        <w:fldChar w:fldCharType="separate"/>
      </w:r>
      <w:r w:rsidR="00657FE7">
        <w:rPr>
          <w:noProof/>
        </w:rPr>
        <w:t>(Le et al., 2019)</w:t>
      </w:r>
      <w:r w:rsidR="00657FE7">
        <w:fldChar w:fldCharType="end"/>
      </w:r>
      <w:r w:rsidR="00657FE7">
        <w:t xml:space="preserve">. </w:t>
      </w:r>
      <w:r>
        <w:t xml:space="preserve">Obstruction </w:t>
      </w:r>
      <w:r w:rsidR="00724594">
        <w:t xml:space="preserve">is </w:t>
      </w:r>
      <w:r>
        <w:t xml:space="preserve">usually </w:t>
      </w:r>
      <w:r w:rsidR="00724594">
        <w:t>caused by</w:t>
      </w:r>
      <w:r>
        <w:t xml:space="preserve"> pigment deposition, endothelial overgrowth, or fibrin accumulation</w:t>
      </w:r>
      <w:r w:rsidR="00724594">
        <w:t xml:space="preserve">. Device </w:t>
      </w:r>
      <w:r>
        <w:t>malposition</w:t>
      </w:r>
      <w:r w:rsidR="00724594">
        <w:t>,</w:t>
      </w:r>
      <w:r>
        <w:t xml:space="preserve"> </w:t>
      </w:r>
      <w:r w:rsidR="00724594">
        <w:t xml:space="preserve">on the other hand, </w:t>
      </w:r>
      <w:r>
        <w:t>reflects suboptimal placement or postoperative angle shift</w:t>
      </w:r>
      <w:r w:rsidR="00724594">
        <w:t>.</w:t>
      </w:r>
      <w:r>
        <w:t xml:space="preserve"> </w:t>
      </w:r>
      <w:r w:rsidR="00724594">
        <w:t>B</w:t>
      </w:r>
      <w:r>
        <w:t xml:space="preserve">oth </w:t>
      </w:r>
      <w:r w:rsidR="00724594">
        <w:t>contribute</w:t>
      </w:r>
      <w:r>
        <w:t xml:space="preserve"> to diminished </w:t>
      </w:r>
      <w:r w:rsidR="00724594">
        <w:t>IOP control and reduced procedural long-term success</w:t>
      </w:r>
      <w:r>
        <w:t>. Peripheral anterior synechiae (PAS) </w:t>
      </w:r>
      <w:r w:rsidR="00724594">
        <w:t>have occurred</w:t>
      </w:r>
      <w:r>
        <w:t xml:space="preserve"> in 1.8–20% of eyes</w:t>
      </w:r>
      <w:r w:rsidR="00F45312">
        <w:t xml:space="preserve">, </w:t>
      </w:r>
      <w:r>
        <w:t>particularly with Hydrus</w:t>
      </w:r>
      <w:r w:rsidR="00724594">
        <w:t>. PAS are</w:t>
      </w:r>
      <w:r>
        <w:t xml:space="preserve"> fibrotic adhesion</w:t>
      </w:r>
      <w:r w:rsidR="00724594">
        <w:t>s</w:t>
      </w:r>
      <w:r>
        <w:t xml:space="preserve"> of the iris to the stented region after localized inflammation</w:t>
      </w:r>
      <w:r w:rsidR="00657FE7">
        <w:t xml:space="preserve"> </w:t>
      </w:r>
      <w:r w:rsidR="00657FE7">
        <w:fldChar w:fldCharType="begin"/>
      </w:r>
      <w:r w:rsidR="00657FE7">
        <w:instrText xml:space="preserve"> ADDIN ZOTERO_ITEM CSL_CITATION {"citationID":"LVUYdzP1","properties":{"formattedCitation":"(Otarola et al., 2020)","plainCitation":"(Otarola et al., 2020)","noteIndex":0},"citationItems":[{"id":2293,"uris":["http://zotero.org/users/15573016/items/E4YJK9RF"],"itemData":{"id":2293,"type":"article-journal","container-title":"Cochrane Database of Systematic Reviews","DOI":"10.1002/14651858.CD012740.pub2","ISSN":"14651858","issue":"3","language":"en","source":"DOI.org (Crossref)","title":"Ab interno trabecular bypass surgery with Schlemm´s canal microstent (Hydrus) for open angle glaucoma","URL":"http://doi.wiley.com/10.1002/14651858.CD012740.pub2","volume":"2020","author":[{"family":"Otarola","given":"Francisco"},{"family":"Virgili","given":"Gianni"},{"family":"Shah","given":"Anupa"},{"family":"Hu","given":"Kuang"},{"family":"Bunce","given":"Catey"},{"family":"Gazzard","given":"Gus"}],"editor":[{"literal":"Cochrane Eyes and Vision Group"}],"accessed":{"date-parts":[["2025",10,29]]},"issued":{"date-parts":[["2020",3,9]]},"citation-key":"otarola2020c"}}],"schema":"https://github.com/citation-style-language/schema/raw/master/csl-citation.json"} </w:instrText>
      </w:r>
      <w:r w:rsidR="00657FE7">
        <w:fldChar w:fldCharType="separate"/>
      </w:r>
      <w:r w:rsidR="00657FE7">
        <w:rPr>
          <w:noProof/>
        </w:rPr>
        <w:t>(Otarola et al., 2020)</w:t>
      </w:r>
      <w:r w:rsidR="00657FE7">
        <w:fldChar w:fldCharType="end"/>
      </w:r>
      <w:r w:rsidR="00657FE7">
        <w:t xml:space="preserve">. </w:t>
      </w:r>
      <w:r>
        <w:t>Secondary</w:t>
      </w:r>
      <w:r w:rsidR="00724594">
        <w:t xml:space="preserve"> (revision)</w:t>
      </w:r>
      <w:r>
        <w:t xml:space="preserve"> surgery is required in less than 1% of iStent or Hydrus cases</w:t>
      </w:r>
      <w:r w:rsidR="00EC587B">
        <w:t>,</w:t>
      </w:r>
      <w:r>
        <w:t xml:space="preserve"> but up to 23% following Trabectome and 9% after GATT</w:t>
      </w:r>
      <w:r w:rsidR="00724594">
        <w:t>. This has been linked to</w:t>
      </w:r>
      <w:r>
        <w:t xml:space="preserve"> late canal fibrosis or inadequate angle opening </w:t>
      </w:r>
      <w:r w:rsidR="00657FE7">
        <w:t xml:space="preserve"> </w:t>
      </w:r>
      <w:r w:rsidR="00657FE7">
        <w:fldChar w:fldCharType="begin"/>
      </w:r>
      <w:r w:rsidR="00657FE7">
        <w:instrText xml:space="preserve"> ADDIN ZOTERO_ITEM CSL_CITATION {"citationID":"n6mfp5Cd","properties":{"formattedCitation":"(Grover et al., 2014; Hu et al., 2021)","plainCitation":"(Grover et al., 2014; Hu et al., 2021)","noteIndex":0},"citationItems":[{"id":1834,"uris":["http://zotero.org/users/15573016/items/IXUCR934"],"itemData":{"id":1834,"type":"article-journal","container-title":"Ophthalmology","DOI":"10.1016/j.ophtha.2013.11.001","ISSN":"01616420","issue":"4","journalAbbreviation":"Ophthalmology","language":"en","license":"https://www.elsevier.com/tdm/userlicense/1.0/","page":"855-861","source":"DOI.org (Crossref)","title":"Gonioscopy-Assisted Transluminal Trabeculotomy, Ab Interno Trabeculotomy","URL":"https://linkinghub.elsevier.com/retrieve/pii/S0161642013010592","volume":"121","author":[{"family":"Grover","given":"Davinder S."},{"family":"Godfrey","given":"David G."},{"family":"Smith","given":"Oluwatosin"},{"family":"Feuer","given":"William J."},{"family":"Montes De Oca","given":"Ildamaris"},{"family":"Fellman","given":"Ronald L."}],"accessed":{"date-parts":[["2025",7,1]]},"issued":{"date-parts":[["2014",4]]},"citation-key":"grover2014a"}},{"id":2292,"uris":["http://zotero.org/users/15573016/items/3U3YE73R"],"itemData":{"id":2292,"type":"article-journal","container-title":"Cochrane Database of Systematic Reviews","DOI":"10.1002/14651858.CD011693.pub3","ISSN":"14651858","issue":"2","language":"en","source":"DOI.org (Crossref)","title":"Ab interno trabecular bypass surgery with Trabectome for open-angle glaucoma","URL":"http://doi.wiley.com/10.1002/14651858.CD011693.pub3","volume":"2021","editor":[{"literal":"Cochrane Eyes and Vision Group"}],"author":[{"family":"Hu","given":"Kuang"},{"family":"Shah","given":"Anupa"},{"family":"Virgili","given":"Gianni"},{"family":"Bunce","given":"Catey"},{"family":"Gazzard","given":"Gus"}],"accessed":{"date-parts":[["2025",10,29]]},"issued":{"date-parts":[["2021",2,4]]},"citation-key":"hu2021b"}}],"schema":"https://github.com/citation-style-language/schema/raw/master/csl-citation.json"} </w:instrText>
      </w:r>
      <w:r w:rsidR="00657FE7">
        <w:fldChar w:fldCharType="separate"/>
      </w:r>
      <w:r w:rsidR="00657FE7">
        <w:rPr>
          <w:noProof/>
        </w:rPr>
        <w:t>(Grover et al., 2014; Hu et al., 2021)</w:t>
      </w:r>
      <w:r w:rsidR="00657FE7">
        <w:fldChar w:fldCharType="end"/>
      </w:r>
      <w:r w:rsidR="00657FE7">
        <w:t xml:space="preserve">. </w:t>
      </w:r>
      <w:r>
        <w:t xml:space="preserve">Cataract progression (&gt; 5%) and minor best-corrected visual acuity (BCVA) decline (&gt; 5%) are rare and typically attributed to concomitant phacoemulsification rather than the MIGS procedure itself </w:t>
      </w:r>
      <w:r w:rsidR="00657FE7">
        <w:t xml:space="preserve"> </w:t>
      </w:r>
      <w:r w:rsidR="00657FE7">
        <w:fldChar w:fldCharType="begin"/>
      </w:r>
      <w:r w:rsidR="00657FE7">
        <w:instrText xml:space="preserve"> ADDIN ZOTERO_ITEM CSL_CITATION {"citationID":"DbPQHIpY","properties":{"formattedCitation":"(Samuelson et al., 2019)","plainCitation":"(Samuelson et al., 2019)","noteIndex":0},"citationItems":[{"id":1419,"uris":["http://zotero.org/users/15573016/items/4U5ZLYS3"],"itemData":{"id":1419,"type":"article-journal","abstract":"PURPOSE: Evaluate the safety and effectiveness of an ab interno implanted (iStent inject) Trabecular Micro-Bypass System (Glaukos Corporation, San Clemente, CA) in combination with cataract surgery in subjects with mild to moderate primary open-angle glaucoma (POAG).\nDESIGN: Prospective, randomized, single-masked, concurrently controlled, multicenter clinical trial.\nPARTICIPANTS: Eyes with mild to moderate POAG and preoperative intraocular pressure (IOP) ≤24 mmHg on 1 to 3 medications, unmedicated diurnal IOP (DIOP) 21 to 36 mmHg, and cataract requiring surgery.\nMETHODS: After uncomplicated cataract surgery, eyes were randomized 3:1 intraoperatively to ab interno implantation of iStent inject (Model G2-M-IS; treatment group, n = 387) or no stent implantation (control group, n = 118). Subjects were followed through 2 years postoperatively. Annual washout of ocular hypotensive medication was performed.\nMAIN OUTCOME MEASURES: Effectiveness end points were ≥20% reduction from baseline in month 24 unmedicated DIOP and change in unmedicated month 24 DIOP from baseline. Safety measures included best spectacle-corrected visual acuity (BSCVA), slit-lamp and fundus examinations, gonioscopy, pachymetry, specular microscopy, visual fields, complications, and adverse events.\nRESULTS: The groups were well balanced preoperatively, including medicated IOP (17.5 mmHg in both groups) and unmedicated DIOP (24.8±3.3 mmHg vs. 24.5±3.1 mmHg in the treatment and control groups, respectively, P = 0.33). At 24 months, 75.8% of treatment eyes versus 61.9% of control eyes experienced ≥20% reduction from baseline in unmedicated DIOP (P = 0.005), and mean reduction in unmedicated DIOP from baseline was greater in treatment eyes (7.0±4.0 mmHg) than in control eyes (5.4±3.7 mmHg; P &lt; 0.001). Of the responders, 84% of treatment eyes and 67% of control eyes were not receiving ocular hypotensive medication at 23 months. Furthermore, 63.2% of treatment eyes versus 50.0% of control eyes had month 24 medication-free DIOP ≤18 mmHg (difference 13.2%; 95% confidence interval, 2.9-23.4). The overall safety profile of the treatment group was favorable and similar to that in the control group throughout the 2-year follow-up.\nCONCLUSIONS: Clinically and statistically greater reductions in IOP without medication were achieved after iStent inject implantation with cataract surgery versus cataract surgery alone, with excellent safety through 2 years.","container-title":"Ophthalmology","DOI":"10.1016/j.ophtha.2019.03.006","ISSN":"1549-4713","issue":"6","journalAbbreviation":"Ophthalmology","language":"eng","note":"PMID: 30880108","page":"811-821","source":"PubMed","title":"Prospective, Randomized, Controlled Pivotal Trial of an Ab Interno Implanted Trabecular Micro-Bypass in Primary Open-Angle Glaucoma and Cataract: Two-Year Results","title-short":"Prospective, Randomized, Controlled Pivotal Trial of an Ab Interno Implanted Trabecular Micro-Bypass in Primary Open-Angle Glaucoma and Cataract","volume":"126","author":[{"family":"Samuelson","given":"Thomas W."},{"family":"Sarkisian","given":"Steven R."},{"family":"Lubeck","given":"David M."},{"family":"Stiles","given":"Michael C."},{"family":"Duh","given":"Yi-Jing"},{"family":"Romo","given":"Eeke A."},{"family":"Giamporcaro","given":"Jane Ellen"},{"family":"Hornbeak","given":"Dana M."},{"family":"Katz","given":"L. Jay"},{"literal":"iStent inject Study Group"}],"issued":{"date-parts":[["2019",6]]},"citation-key":"samuelson2019"}}],"schema":"https://github.com/citation-style-language/schema/raw/master/csl-citation.json"} </w:instrText>
      </w:r>
      <w:r w:rsidR="00657FE7">
        <w:fldChar w:fldCharType="separate"/>
      </w:r>
      <w:r w:rsidR="00657FE7">
        <w:rPr>
          <w:noProof/>
        </w:rPr>
        <w:t>(Samuelson et al., 2019)</w:t>
      </w:r>
      <w:r w:rsidR="00657FE7">
        <w:fldChar w:fldCharType="end"/>
      </w:r>
      <w:r w:rsidR="00657FE7">
        <w:t xml:space="preserve">. </w:t>
      </w:r>
    </w:p>
    <w:p w14:paraId="64EF83E8" w14:textId="77777777" w:rsidR="00EC587B" w:rsidRDefault="00EC587B" w:rsidP="003A0B82">
      <w:pPr>
        <w:spacing w:line="360" w:lineRule="auto"/>
        <w:jc w:val="both"/>
      </w:pPr>
    </w:p>
    <w:p w14:paraId="19772570" w14:textId="53A4362B" w:rsidR="001861FE" w:rsidRDefault="001861FE" w:rsidP="003A0B82">
      <w:pPr>
        <w:spacing w:line="360" w:lineRule="auto"/>
        <w:jc w:val="both"/>
      </w:pPr>
      <w:r>
        <w:t xml:space="preserve">In summary, postoperative complications following MIGS are </w:t>
      </w:r>
      <w:r w:rsidR="00724594">
        <w:t>generally</w:t>
      </w:r>
      <w:r>
        <w:t xml:space="preserve"> mild, reversible, and non-sight-threatening. Hyphema and IOP</w:t>
      </w:r>
      <w:r w:rsidR="00724594">
        <w:t xml:space="preserve"> </w:t>
      </w:r>
      <w:r>
        <w:t>spikes </w:t>
      </w:r>
      <w:r w:rsidR="00724594">
        <w:t>are common in</w:t>
      </w:r>
      <w:r>
        <w:t xml:space="preserve"> the early </w:t>
      </w:r>
      <w:r w:rsidR="00724594">
        <w:t>postoperative period</w:t>
      </w:r>
      <w:r>
        <w:t>, while stent obstruction, PAS, and secondary surgical interventions </w:t>
      </w:r>
      <w:r w:rsidR="00437DB0">
        <w:t>are reported as</w:t>
      </w:r>
      <w:r>
        <w:t xml:space="preserve"> late outcomes. The overall</w:t>
      </w:r>
      <w:r w:rsidR="00724594">
        <w:t xml:space="preserve"> improved</w:t>
      </w:r>
      <w:r>
        <w:t xml:space="preserve"> safety</w:t>
      </w:r>
      <w:r w:rsidR="00724594">
        <w:t xml:space="preserve"> profile compared with trabeculectomy makes</w:t>
      </w:r>
      <w:r>
        <w:t xml:space="preserve"> MIGS </w:t>
      </w:r>
      <w:r w:rsidR="00724594">
        <w:t xml:space="preserve">a </w:t>
      </w:r>
      <w:r w:rsidR="00F45312">
        <w:t>low</w:t>
      </w:r>
      <w:r>
        <w:t>-risk glaucoma surgery</w:t>
      </w:r>
      <w:r w:rsidR="00724594">
        <w:t xml:space="preserve">. </w:t>
      </w:r>
      <w:r w:rsidR="00437DB0">
        <w:t xml:space="preserve">Thereby </w:t>
      </w:r>
      <w:r w:rsidR="00F45312">
        <w:t>o</w:t>
      </w:r>
      <w:r>
        <w:t>ffering effective IOP reduction with minimal postoperative morbidity and preservation of ocular integrity.</w:t>
      </w:r>
    </w:p>
    <w:p w14:paraId="33ABB5FC" w14:textId="77777777" w:rsidR="006E004F" w:rsidRPr="006E004F" w:rsidRDefault="006E004F" w:rsidP="003A0B82">
      <w:pPr>
        <w:spacing w:line="360" w:lineRule="auto"/>
      </w:pPr>
    </w:p>
    <w:p w14:paraId="7065CBA4" w14:textId="66999E2E" w:rsidR="00850DAD" w:rsidRDefault="00124059" w:rsidP="003A0B82">
      <w:pPr>
        <w:pStyle w:val="Heading2"/>
      </w:pPr>
      <w:bookmarkStart w:id="30" w:name="_Toc213182580"/>
      <w:r w:rsidRPr="002F6D81">
        <w:t>Micro-</w:t>
      </w:r>
      <w:r w:rsidR="00970663">
        <w:t>I</w:t>
      </w:r>
      <w:r w:rsidRPr="002F6D81">
        <w:t xml:space="preserve">nvasive </w:t>
      </w:r>
      <w:r w:rsidR="00970663">
        <w:t>F</w:t>
      </w:r>
      <w:r w:rsidRPr="002F6D81">
        <w:t xml:space="preserve">iltration </w:t>
      </w:r>
      <w:r w:rsidR="00970663">
        <w:t>S</w:t>
      </w:r>
      <w:r w:rsidRPr="002F6D81">
        <w:t xml:space="preserve">urgeries </w:t>
      </w:r>
      <w:r w:rsidR="00850DAD" w:rsidRPr="002F6D81">
        <w:t>(MIFS)</w:t>
      </w:r>
      <w:bookmarkEnd w:id="30"/>
    </w:p>
    <w:p w14:paraId="4DB562CF" w14:textId="77777777" w:rsidR="00EC587B" w:rsidRDefault="00B7528D" w:rsidP="003A0B82">
      <w:pPr>
        <w:spacing w:line="360" w:lineRule="auto"/>
        <w:jc w:val="both"/>
      </w:pPr>
      <w:r>
        <w:t>Widely considered as part of MIGS procedures are Micro-invasive filtration surgeries (MIFS). In this review, they are separated in</w:t>
      </w:r>
      <w:r w:rsidR="000C0219">
        <w:t>to</w:t>
      </w:r>
      <w:r>
        <w:t xml:space="preserve"> their own category due to their </w:t>
      </w:r>
      <w:r w:rsidR="00FE5CB3">
        <w:t>surgical d</w:t>
      </w:r>
      <w:r w:rsidR="002E5B5C">
        <w:t>istin</w:t>
      </w:r>
      <w:r w:rsidR="00FE5CB3">
        <w:t xml:space="preserve">ction </w:t>
      </w:r>
      <w:r w:rsidR="000C0219">
        <w:t>from</w:t>
      </w:r>
      <w:r w:rsidR="00FE5CB3">
        <w:t xml:space="preserve"> MIGS in </w:t>
      </w:r>
      <w:r w:rsidR="002E5B5C">
        <w:t xml:space="preserve">the </w:t>
      </w:r>
      <w:r w:rsidR="00FE5CB3">
        <w:t>formation of a subconjunctival bleb. This resembles the technique of traditional penetrating filtration surgeries, such as trabeculectomy</w:t>
      </w:r>
      <w:r w:rsidR="002E5B5C">
        <w:t xml:space="preserve"> </w:t>
      </w:r>
      <w:r w:rsidR="00662715">
        <w:fldChar w:fldCharType="begin"/>
      </w:r>
      <w:r w:rsidR="00662715">
        <w:instrText xml:space="preserve"> ADDIN ZOTERO_ITEM CSL_CITATION {"citationID":"M27PlD1H","properties":{"formattedCitation":"(Pillunat et al., 2017; Saeed et al., 2023)","plainCitation":"(Pillunat et al., 2017; Saeed et al., 2023)","noteIndex":0},"citationItems":[{"id":2003,"uris":["http://zotero.org/users/15573016/items/X3A82GIE"],"itemData":{"id":2003,"type":"article-journal","container-title":"Clinical Ophthalmology","DOI":"10.2147/opth.s135316","ISSN":"1177-5483","journalAbbreviation":"OPTH","language":"en","license":"http://creativecommons.org/licenses/by-nc/3.0/","note":"publisher: Informa UK Limited","page":"1583-1600","source":"Crossref","title":"Micro-invasive glaucoma surgery (MIGS): a review of surgical procedures using stents","title-short":"Micro-invasive glaucoma surgery (MIGS)","URL":"https://www.dovepress.com/micro-invasive-glaucoma-surgery-migs-a-review-of-surgical-procedures-u-peer-reviewed-article-OPTH","volume":"Volume 11","author":[{"family":"Pillunat","given":"Lutz E"},{"family":"Erb","given":"Carl"},{"family":"Jünemann","given":"Anselm Gm"},{"family":"Kimmich","given":"Friedemann"}],"accessed":{"date-parts":[["2025",7,7]]},"issued":{"date-parts":[["2017",8]]},"citation-key":"pillunat2017"}},{"id":949,"uris":["http://zotero.org/users/15573016/items/9B5PV5NE"],"itemData":{"id":949,"type":"article-journal","abstract":"Recently, the quest for novel glaucoma surgical techniques and devices has been underway. Trabeculectomy remains the gold standard, but it r equires the implantation of glaucoma drainage devices and frequent fol low-ups, and it also carries a high risk of serious complications. The need for less invasive and safer procedures has led to the developmen t of minimally invasive glaucoma surgery (MIGS), particularly for pati ents with mild–to–moderate disease. Among them, minimally invasive ble b surgery seems to be effective in classical glaucoma surgery, while m aintaining MIGS benefits. The relatively new PreserFlo® MicroShunt (Sa nten, Osaka, Japan) is registered in Europe. It was released in 2019 f or the treatment of patients with early–to–advanced open-angle glaucom a, where intraocular pressure (IOP) remains uncontrolled while on maxi mum tolerated medication and/or where glaucoma progression warrants su rgery. This review focuses on the place of the PreserFlo MicroShunt, c haracterized by ab externo implantation, among MIGS procedures, discus sing its advantages and disadvantages. The mechanisms of action, techn ical aspects, efficacy, and safety issues are summarized. The surgical technique, its efficacy, and safety profile are described, and direct ions for future studies are indicated. The PreserFlo MicroShunt ensure s a high safety profile, minimal anatomical disruption, meaningful IOP -lowering effect, and ease of use for patients and physicians.","archive":"Crossref","container-title":"International Journal of Environmental Research and Public Health","DOI":"10.3390/ijerph20042904","ISSN":"1660-4601","issue":"4","journalAbbreviation":"IJERPH","language":"en","page":"2904","title":"The PreserFlo MicroShunt in the Context of Minimally Invasive Glaucoma Surgery: A Narrative Review","URL":"http://dx.doi.org/10.3390/ijerph20042904","volume":"20","author":[{"family":"Saeed","given":"Emil"},{"family":"Gołaszewska","given":"Kinga"},{"family":"Dmuchowska","given":"Diana Anna"},{"family":"Zalewska","given":"Renata"},{"family":"Konopińska","given":"Joanna"}],"issued":{"date-parts":[["2023",2,7]]},"citation-key":"saeed2023"}}],"schema":"https://github.com/citation-style-language/schema/raw/master/csl-citation.json"} </w:instrText>
      </w:r>
      <w:r w:rsidR="00662715">
        <w:fldChar w:fldCharType="separate"/>
      </w:r>
      <w:r w:rsidR="00662715">
        <w:rPr>
          <w:noProof/>
        </w:rPr>
        <w:t>(Pillunat et al., 2017; Saeed et al., 2023)</w:t>
      </w:r>
      <w:r w:rsidR="00662715">
        <w:fldChar w:fldCharType="end"/>
      </w:r>
      <w:r w:rsidR="00662715">
        <w:t>.</w:t>
      </w:r>
      <w:r w:rsidR="00FE20DB">
        <w:t xml:space="preserve"> </w:t>
      </w:r>
      <w:r w:rsidR="002E5B5C">
        <w:t>MIFS create a filtration pathway to the subcon</w:t>
      </w:r>
      <w:r w:rsidR="000C0219">
        <w:t xml:space="preserve">junctival space. The key difference </w:t>
      </w:r>
      <w:r w:rsidR="00EC587B">
        <w:t>from</w:t>
      </w:r>
      <w:r w:rsidR="000C0219">
        <w:t xml:space="preserve"> a classic trabeculectomy </w:t>
      </w:r>
      <w:r w:rsidR="00EC587B">
        <w:t>is</w:t>
      </w:r>
      <w:r w:rsidR="000C0219">
        <w:t xml:space="preserve"> the avoidance of full-thickness tissue penetration, making MIFS a minimally invasive surgical modality. Two representatives of MIFS are Preserflo MicroShunt and Xen </w:t>
      </w:r>
      <w:r w:rsidR="000C0219">
        <w:lastRenderedPageBreak/>
        <w:t xml:space="preserve">Gel Stent. </w:t>
      </w:r>
      <w:r w:rsidR="00FE20DB">
        <w:t>The Xen Gel Stent is implanted using an ab interno approach, with a preloaded injector</w:t>
      </w:r>
      <w:r w:rsidR="000C0219">
        <w:t xml:space="preserve">. The </w:t>
      </w:r>
      <w:r w:rsidR="00FE20DB">
        <w:t xml:space="preserve">soft gelatin tube </w:t>
      </w:r>
      <w:r w:rsidR="000C0219">
        <w:t xml:space="preserve">is delivered </w:t>
      </w:r>
      <w:r w:rsidR="00FE20DB">
        <w:t>through the trabecular meshwork into the subconjunctival space</w:t>
      </w:r>
      <w:r w:rsidR="000C0219">
        <w:t>. This</w:t>
      </w:r>
      <w:r w:rsidR="00FE20DB">
        <w:t xml:space="preserve"> </w:t>
      </w:r>
      <w:r w:rsidR="000C0219">
        <w:t xml:space="preserve">approach </w:t>
      </w:r>
      <w:r w:rsidR="00FE20DB">
        <w:t>preserve</w:t>
      </w:r>
      <w:r w:rsidR="000C0219">
        <w:t>s</w:t>
      </w:r>
      <w:r w:rsidR="00FE20DB">
        <w:t xml:space="preserve"> the conjunctiva</w:t>
      </w:r>
      <w:r w:rsidR="00662715">
        <w:t xml:space="preserve"> </w:t>
      </w:r>
      <w:r w:rsidR="00662715">
        <w:fldChar w:fldCharType="begin"/>
      </w:r>
      <w:r w:rsidR="00662715">
        <w:instrText xml:space="preserve"> ADDIN ZOTERO_ITEM CSL_CITATION {"citationID":"uqxB60Ju","properties":{"formattedCitation":"(Lewis, 2014)","plainCitation":"(Lewis, 2014)","noteIndex":0},"citationItems":[{"id":2007,"uris":["http://zotero.org/users/15573016/items/UTLPF9RV"],"itemData":{"id":2007,"type":"article-journal","container-title":"Journal of Cataract and Refractive Surgery","DOI":"10.1016/j.jcrs.2014.01.032","ISSN":"0886-3350","issue":"8","language":"en","license":"https://www.elsevier.com/tdm/userlicense/1.0/","note":"publisher: Ovid Technologies (Wolters Kluwer Health)","page":"1301-1306","source":"Crossref","title":"Ab interno approach to the subconjunctival space using a collagen glaucoma stent","URL":"https://journals.lww.com/02158034-201408000-00009","volume":"40","author":[{"family":"Lewis","given":"Richard A."}],"accessed":{"date-parts":[["2025",7,7]]},"issued":{"date-parts":[["2014",8]]},"citation-key":"lewis2014"}}],"schema":"https://github.com/citation-style-language/schema/raw/master/csl-citation.json"} </w:instrText>
      </w:r>
      <w:r w:rsidR="00662715">
        <w:fldChar w:fldCharType="separate"/>
      </w:r>
      <w:r w:rsidR="00662715">
        <w:rPr>
          <w:noProof/>
        </w:rPr>
        <w:t>(Lewis, 2014)</w:t>
      </w:r>
      <w:r w:rsidR="00662715">
        <w:fldChar w:fldCharType="end"/>
      </w:r>
      <w:r w:rsidR="00FE20DB">
        <w:t>.</w:t>
      </w:r>
      <w:r w:rsidR="006F40F8">
        <w:t xml:space="preserve"> </w:t>
      </w:r>
      <w:r w:rsidR="00FE20DB">
        <w:t>In contrast</w:t>
      </w:r>
      <w:r w:rsidR="000C0219">
        <w:t xml:space="preserve"> to Xen Gel stents</w:t>
      </w:r>
      <w:r w:rsidR="00FE20DB">
        <w:t>, the Preserflo MicroShunt</w:t>
      </w:r>
      <w:r w:rsidR="00FE20DB">
        <w:rPr>
          <w:rStyle w:val="apple-converted-space"/>
          <w:color w:val="0E101A"/>
        </w:rPr>
        <w:t> </w:t>
      </w:r>
      <w:r w:rsidR="00FE20DB">
        <w:t>is implanted</w:t>
      </w:r>
      <w:r w:rsidR="00FE20DB">
        <w:rPr>
          <w:rStyle w:val="apple-converted-space"/>
          <w:color w:val="0E101A"/>
        </w:rPr>
        <w:t> </w:t>
      </w:r>
      <w:r w:rsidR="00FE20DB">
        <w:t>using an ab externo approach.</w:t>
      </w:r>
      <w:r w:rsidR="00FE20DB">
        <w:rPr>
          <w:rStyle w:val="apple-converted-space"/>
          <w:color w:val="0E101A"/>
        </w:rPr>
        <w:t> </w:t>
      </w:r>
      <w:r w:rsidR="00FE20DB">
        <w:t>This</w:t>
      </w:r>
      <w:r w:rsidR="00FE20DB">
        <w:rPr>
          <w:rStyle w:val="apple-converted-space"/>
          <w:color w:val="0E101A"/>
        </w:rPr>
        <w:t> </w:t>
      </w:r>
      <w:r w:rsidR="00FE20DB">
        <w:t>involves a conjunctival peritomy and scleral dissection to place the 8.5 mm SIBS (poly[styrene-block-isobutylene-block-styrene]) tube connecting the anterior chamber to the sub-Tenon space</w:t>
      </w:r>
      <w:r w:rsidR="006F40F8">
        <w:t>,</w:t>
      </w:r>
      <w:r w:rsidR="00FE20DB">
        <w:t xml:space="preserve"> </w:t>
      </w:r>
      <w:r w:rsidR="006F40F8">
        <w:t>thereby</w:t>
      </w:r>
      <w:r w:rsidR="00FE20DB">
        <w:t xml:space="preserve"> creating a new filtration pathway </w:t>
      </w:r>
      <w:r w:rsidR="00662715">
        <w:fldChar w:fldCharType="begin"/>
      </w:r>
      <w:r w:rsidR="00662715">
        <w:instrText xml:space="preserve"> ADDIN ZOTERO_ITEM CSL_CITATION {"citationID":"O79UqfZa","properties":{"formattedCitation":"(Fea et al., 2022)","plainCitation":"(Fea et al., 2022)","noteIndex":0},"citationItems":[{"id":2008,"uris":["http://zotero.org/users/15573016/items/62838EFM"],"itemData":{"id":2008,"type":"article-journal","container-title":"Clinical Ophthalmology","DOI":"10.2147/opth.s307835","ISSN":"1177-5483","journalAbbreviation":"OPTH","language":"en","license":"http://creativecommons.org/licenses/by-nc/3.0/","note":"publisher: Informa UK Limited","page":"1281-1288","source":"Crossref","title":"A New and Easier Approach to Preserflo MicroShunt Implantation","URL":"https://www.dovepress.com/a-new-and-easier-approach-to-preserflo-microshunt-implantation-peer-reviewed-fulltext-article-OPTH","volume":"Volume 16","author":[{"family":"Fea","given":"Antonio M"},{"family":"Ghilardi","given":"Andrea"},{"family":"Bovone","given":"Davide"},{"family":"Reibaldi","given":"Michele"},{"family":"Rossi","given":"Alessandro"},{"family":"Craven","given":"Earl R"}],"accessed":{"date-parts":[["2025",7,7]]},"issued":{"date-parts":[["2022",4]]},"citation-key":"fea2022"}}],"schema":"https://github.com/citation-style-language/schema/raw/master/csl-citation.json"} </w:instrText>
      </w:r>
      <w:r w:rsidR="00662715">
        <w:fldChar w:fldCharType="separate"/>
      </w:r>
      <w:r w:rsidR="00662715">
        <w:rPr>
          <w:noProof/>
        </w:rPr>
        <w:t>(Fea et al., 2022)</w:t>
      </w:r>
      <w:r w:rsidR="00662715">
        <w:fldChar w:fldCharType="end"/>
      </w:r>
      <w:r w:rsidR="00662715">
        <w:t>.</w:t>
      </w:r>
      <w:r w:rsidR="00F5594E">
        <w:t xml:space="preserve"> </w:t>
      </w:r>
      <w:r w:rsidR="000C0219">
        <w:t xml:space="preserve">Both </w:t>
      </w:r>
      <w:r w:rsidR="00FE20DB">
        <w:t>procedures</w:t>
      </w:r>
      <w:r w:rsidR="00FE20DB">
        <w:rPr>
          <w:rStyle w:val="apple-converted-space"/>
          <w:color w:val="0E101A"/>
        </w:rPr>
        <w:t> </w:t>
      </w:r>
      <w:r w:rsidR="00FE20DB">
        <w:t>are indicated</w:t>
      </w:r>
      <w:r w:rsidR="00FE20DB">
        <w:rPr>
          <w:rStyle w:val="apple-converted-space"/>
          <w:color w:val="0E101A"/>
        </w:rPr>
        <w:t> </w:t>
      </w:r>
      <w:r w:rsidR="00FE20DB">
        <w:t xml:space="preserve">for patients with </w:t>
      </w:r>
      <w:r w:rsidR="006F40F8">
        <w:t>mild</w:t>
      </w:r>
      <w:r w:rsidR="00FE20DB">
        <w:t xml:space="preserve"> to </w:t>
      </w:r>
      <w:r w:rsidR="006F40F8">
        <w:t>moderate</w:t>
      </w:r>
      <w:r w:rsidR="000C0219">
        <w:t xml:space="preserve"> </w:t>
      </w:r>
      <w:r w:rsidR="00FE20DB">
        <w:t xml:space="preserve">POAG. Especially for patients with inadequately controlled POAG with maximal medical and/or </w:t>
      </w:r>
      <w:r w:rsidR="000C0219">
        <w:t xml:space="preserve">prior </w:t>
      </w:r>
      <w:r w:rsidR="00FE20DB">
        <w:t>laser therapy</w:t>
      </w:r>
      <w:r w:rsidR="000C0219">
        <w:t xml:space="preserve"> (SLT)</w:t>
      </w:r>
      <w:r w:rsidR="00FE20DB">
        <w:t xml:space="preserve"> </w:t>
      </w:r>
      <w:bookmarkStart w:id="31" w:name="_Hlk212800318"/>
      <w:r w:rsidR="00662715">
        <w:fldChar w:fldCharType="begin"/>
      </w:r>
      <w:r w:rsidR="00662715">
        <w:instrText xml:space="preserve"> ADDIN ZOTERO_ITEM CSL_CITATION {"citationID":"LdiHRwMh","properties":{"formattedCitation":"(Gedde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rsidR="00662715">
        <w:fldChar w:fldCharType="separate"/>
      </w:r>
      <w:r w:rsidR="00662715">
        <w:rPr>
          <w:noProof/>
        </w:rPr>
        <w:t>(Gedde et al., 2021b)</w:t>
      </w:r>
      <w:r w:rsidR="00662715">
        <w:fldChar w:fldCharType="end"/>
      </w:r>
      <w:bookmarkEnd w:id="31"/>
      <w:r w:rsidR="00FE20DB">
        <w:t xml:space="preserve">. Contraindications </w:t>
      </w:r>
      <w:r w:rsidR="000C0219">
        <w:t xml:space="preserve">are </w:t>
      </w:r>
      <w:r w:rsidR="00FE20DB">
        <w:t xml:space="preserve">angle-closure glaucoma, neovascular glaucoma, active ocular infection, and moderate to severe conjunctival scarring at the intended surgical site </w:t>
      </w:r>
      <w:r w:rsidR="00662715">
        <w:fldChar w:fldCharType="begin"/>
      </w:r>
      <w:r w:rsidR="00662715">
        <w:instrText xml:space="preserve"> ADDIN ZOTERO_ITEM CSL_CITATION {"citationID":"daXkNjJe","properties":{"formattedCitation":"(Gedde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rsidR="00662715">
        <w:fldChar w:fldCharType="separate"/>
      </w:r>
      <w:r w:rsidR="00662715">
        <w:rPr>
          <w:noProof/>
        </w:rPr>
        <w:t>(Gedde et al., 2021b)</w:t>
      </w:r>
      <w:r w:rsidR="00662715">
        <w:fldChar w:fldCharType="end"/>
      </w:r>
      <w:r w:rsidR="00FE20DB">
        <w:t>.</w:t>
      </w:r>
      <w:r w:rsidR="00F5594E">
        <w:t xml:space="preserve"> </w:t>
      </w:r>
    </w:p>
    <w:p w14:paraId="05C87E3C" w14:textId="77777777" w:rsidR="00EC587B" w:rsidRDefault="00EC587B" w:rsidP="003A0B82">
      <w:pPr>
        <w:spacing w:line="360" w:lineRule="auto"/>
        <w:jc w:val="both"/>
      </w:pPr>
    </w:p>
    <w:p w14:paraId="452F8E5F" w14:textId="63EB2C28" w:rsidR="00F5594E" w:rsidRDefault="002F6D81" w:rsidP="003A0B82">
      <w:pPr>
        <w:spacing w:line="360" w:lineRule="auto"/>
        <w:jc w:val="both"/>
      </w:pPr>
      <w:r>
        <w:t>Direct comparative studies have shown similar IOP reductions with both devices. Martínez-de-la-Casa et al. (2025) reported that at 12 months, IOP decreased from 20.8 ± 3.6 mmHg to 14.2 ± 4.5 mmHg using the Xen Gel Stent, and from 19.1 ± 3.8 mmHg to 12.8 ± 2.3 mmHg using the Preserflo MicroShunt</w:t>
      </w:r>
      <w:r w:rsidR="00662715">
        <w:t xml:space="preserve"> </w:t>
      </w:r>
      <w:r w:rsidR="00662715">
        <w:fldChar w:fldCharType="begin"/>
      </w:r>
      <w:r w:rsidR="00662715">
        <w:instrText xml:space="preserve"> ADDIN ZOTERO_ITEM CSL_CITATION {"citationID":"VRjBEKnt","properties":{"formattedCitation":"(Mart\\uc0\\u237{}nez-de-la-Casa et al., 2025)","plainCitation":"(Martínez-de-la-Casa et al., 2025)","noteIndex":0},"citationItems":[{"id":1621,"uris":["http://zotero.org/users/15573016/items/329YB3E6"],"itemData":{"id":1621,"type":"article-journal","container-title":"Scientific Reports","DOI":"10.1038/s41598-024-81616-3","ISSN":"2045-2322","issue":"1","journalAbbreviation":"Sci Rep","language":"en","page":"1634","source":"DOI.org (Crossref)","title":"Xen 63 versus Preserflo MicroShunt implant in patients with primary open-angle glaucoma","URL":"https://www.nature.com/articles/s41598-024-81616-3","volume":"15","author":[{"family":"Martínez-de-la-Casa","given":"José María"},{"family":"Pascual-Santiago","given":"Antonio"},{"family":"Morales-Fernandez","given":"Laura"},{"family":"Saez-Frances","given":"Federico"},{"family":"Garcia-Saenz","given":"Sofia"},{"family":"Guemes-Villahoz","given":"Noemi"},{"family":"Sanchez-Jean","given":"Ruben"},{"family":"Mendez","given":"Carmen"},{"family":"Garcia-Feijoo","given":"Julian"}],"accessed":{"date-parts":[["2025",6,30]]},"issued":{"date-parts":[["2025",1,10]]},"citation-key":"martinez-de-la-casa2025"}}],"schema":"https://github.com/citation-style-language/schema/raw/master/csl-citation.json"} </w:instrText>
      </w:r>
      <w:r w:rsidR="00662715">
        <w:fldChar w:fldCharType="separate"/>
      </w:r>
      <w:r w:rsidR="00662715" w:rsidRPr="00662715">
        <w:t>(Martínez-de-la-Casa et al., 2025)</w:t>
      </w:r>
      <w:r w:rsidR="00662715">
        <w:fldChar w:fldCharType="end"/>
      </w:r>
      <w:r w:rsidR="00662715">
        <w:t xml:space="preserve">. </w:t>
      </w:r>
      <w:r w:rsidR="00EC587B">
        <w:t xml:space="preserve">Also, </w:t>
      </w:r>
      <w:r>
        <w:t xml:space="preserve">Lüke et al. (2024) </w:t>
      </w:r>
      <w:r w:rsidR="000C0219">
        <w:t>reported comparable results in a prior study</w:t>
      </w:r>
      <w:r>
        <w:t>, with both devices producing similar IOP reductions</w:t>
      </w:r>
      <w:r w:rsidR="000C0219">
        <w:t>, noting that the Preserflo MicroShunt showed a s</w:t>
      </w:r>
      <w:r>
        <w:t xml:space="preserve">lightly lower absolute IOP </w:t>
      </w:r>
      <w:r w:rsidR="000C0219">
        <w:t>reduction compared to the Xen Gel Stent</w:t>
      </w:r>
      <w:r>
        <w:t xml:space="preserve"> </w:t>
      </w:r>
      <w:r w:rsidR="00662715">
        <w:fldChar w:fldCharType="begin"/>
      </w:r>
      <w:r w:rsidR="00662715">
        <w:instrText xml:space="preserve"> ADDIN ZOTERO_ITEM CSL_CITATION {"citationID":"swvQ6Hth","properties":{"formattedCitation":"(L\\uc0\\u252{}ke et al., 2024)","plainCitation":"(Lüke et al., 2024)","noteIndex":0},"citationItems":[{"id":1623,"uris":["http://zotero.org/users/15573016/items/5ULKK6XJ"],"itemData":{"id":1623,"type":"article-journal","abstract":"Abstract\n            \n              Background\n              The aim of this study was to compare the outcome of implantation of a XEN45 Gel Stent with the outcome of implantation of a Preserflo MicroShunt in a matched‐pair analysis in eyes being naïve to filtering surgery.\n            \n            \n              Methods\n              In this comparative, retrospective study, 50 eyes that had undergone XEN45 Gel Stent implantation were compared with 50 eyes after Preserflo implantation. Follow‐up was at least 6 months, and surgical success was measured by criteria A (IOP &lt; 21 mmHg, IOP reduction &gt;20%, no repeat surgery); criteria B (IOP &lt; 18 mmHg, IOP reduction &gt;20%, no repeat surgery); and criteria C (IOP ≤15 mmHg, IOP reduction ≥40%, no repeat surgery).\n            \n            \n              Results\n              \n                After a follow‐up period of 12 months, mean IOP had decreased from preoperative 25.2 ± 4.8 mmHg in the XEN group to 14.5 ± 4.0 (\n                n\n                 = 35) and from 25.3 ± 6.8 mmHg to 11.9 ± 2.9 (\n                n\n                 = 41) in the Preserflo group, respectively. The IOP at the last follow‐up of the two groups differed significantly (\n                p\n                 &lt; 0.01). The probability of surgical success did not differ concerning Criteria A and B, but surgical success was significantly higher in the Preserflo group for Criteria C (60%,\n                p\n                 &lt; 0.01).\n              \n            \n            \n              Conclusion\n              Both the Preserflo and XEN45 Gel Stent provide an effective and safe treatment option for advanced glaucoma and have a high potential to reduce intraocular pressure. Absolute IOP levels of &lt;16 mmHg after 12 months were significantly more frequent in the Preserflo group.","container-title":"Clinical &amp; Experimental Ophthalmology","DOI":"10.1111/ceo.14407","ISSN":"1442-6404, 1442-9071","issue":"7","journalAbbreviation":"Clinical Exper Ophthalmology","language":"en","page":"732-739","source":"DOI.org (Crossref)","title":"Matched case–control comparison of surgical success after &lt;span style=\"font-variant:small-caps;\"&gt;XEN45&lt;/span&gt; Gel Stent and &lt;span style=\"font-variant:small-caps;\"&gt;PRESERFLO MicroShunt&lt;/span&gt; implantation in a Caucasian population","title-short":"Matched case–control comparison of surgical success after &lt;span style=\"font-variant","URL":"https://onlinelibrary.wiley.com/doi/10.1111/ceo.14407","volume":"52","author":[{"family":"Lüke","given":"Jan Niklas"},{"family":"Dietlein","given":"Thomas S."},{"family":"Widder","given":"Randolf A."},{"family":"Roessler","given":"Gernot F."},{"family":"Lüke","given":"Vincent"},{"family":"Enders","given":"Philip"},{"family":"Lappa","given":"Alexandra"},{"family":"Kiessling","given":"David"}],"accessed":{"date-parts":[["2025",6,30]]},"issued":{"date-parts":[["2024",9]]},"citation-key":"luke2024"}}],"schema":"https://github.com/citation-style-language/schema/raw/master/csl-citation.json"} </w:instrText>
      </w:r>
      <w:r w:rsidR="00662715">
        <w:fldChar w:fldCharType="separate"/>
      </w:r>
      <w:r w:rsidR="00662715" w:rsidRPr="00662715">
        <w:t>(Lüke et al., 2024)</w:t>
      </w:r>
      <w:r w:rsidR="00662715">
        <w:fldChar w:fldCharType="end"/>
      </w:r>
      <w:r w:rsidR="00662715">
        <w:t xml:space="preserve">. </w:t>
      </w:r>
      <w:r>
        <w:t xml:space="preserve">Five-year </w:t>
      </w:r>
      <w:r w:rsidR="000C0219">
        <w:t xml:space="preserve">studies, reporting </w:t>
      </w:r>
      <w:r w:rsidR="004174F2">
        <w:t>long-term outcomes for the Xen Gel Stent, showed</w:t>
      </w:r>
      <w:r>
        <w:t xml:space="preserve"> that complete success has been achieved in approximately 24% of cases. 20% of patients required additional surgical interventions </w:t>
      </w:r>
      <w:r w:rsidR="004174F2">
        <w:t>over</w:t>
      </w:r>
      <w:r>
        <w:t xml:space="preserve"> </w:t>
      </w:r>
      <w:r w:rsidR="004174F2">
        <w:t>5</w:t>
      </w:r>
      <w:r>
        <w:t xml:space="preserve"> years</w:t>
      </w:r>
      <w:r w:rsidR="00662715">
        <w:t xml:space="preserve"> </w:t>
      </w:r>
      <w:r w:rsidR="00662715">
        <w:fldChar w:fldCharType="begin"/>
      </w:r>
      <w:r w:rsidR="00662715">
        <w:instrText xml:space="preserve"> ADDIN ZOTERO_ITEM CSL_CITATION {"citationID":"iB7mFwNy","properties":{"formattedCitation":"(Ansari, 2021; Lenzhofer et al., 2024; Torbey et al., 2023)","plainCitation":"(Ansari, 2021; Lenzhofer et al., 2024; Torbey et al., 2023)","noteIndex":0},"citationItems":[{"id":961,"uris":["http://zotero.org/users/15573016/items/KYJU6MRI"],"itemData":{"id":961,"type":"article-journal","abstract":"Purpose To evaluate the safety and efficacy of combined phacoemulsific ation and single iStent (G1) (iStent, Glaukos Corp. San Clemente, USA) , implantation in moderately advanced primary open angle glaucoma (POA G) with 5-years follow-up. Methods Retrospective, interventional case series. All subjects had POAG and underwent single iStent implantation + phaco+IOL by a single surgeon, with 5 years follow-up. Primary outco me measures: reduction in intraocular pressure (IOP) and proportion of eyes achieving at least 20% reduction of IOP at 5 years. Secondary ou tcome measures: number of glaucoma drops at 1 through to 5 years; chan ge in visual field mean deviation (MD) at year 5 compared to baseline. Results 35 eyes of 26 patients were included. Mean (sd) medicated pre -op IOP was 18.5 (3.2) mm Hg on mean (sd) 2.3 (1.0) medications. Mean IOP was reduced to 15.9 (4.5) mm Hg on 2.2 (0.9) drops, 15.0mm (4.5) m m Hg on 2.3 (0.9) drops, 15.6 (3.6) mm Hg on 2.5 (1.0) drops, 15.7 (4. 43) mmHg on 2.6 (1.0) drops and 14.7 (3.02) mmHg (P&lt;0.001) on 2.7 (1.1 4) drops (P = 0.06) from 1 through to 5 years. At year 5, 62% of eyes had achieved at least 20% reduction in IOP. MD reduced from -8 (8.1) d B to -10.7 (13.4) dB over 5 years (p = 0.8) at 0.54dB/ annum. One eye required filtering surgery. There were no sight-threatening complicati ons. Conclusion This study showed sustained IOP reduction and excellen t safety profile for single iStent implantation. Uniquely it provides data for a more severe stage of glaucoma, and also visual field data, which indicated no significant change through 5 years.","archive":"Crossref","container-title":"PLOS ONE","DOI":"10.1371/journal.pone.0257015","ISSN":"1932-6203","issue":"9","journalAbbreviation":"PLoS ONE","language":"en","page":"e0257015","title":"5-year outcomes of single iStent (G1) trabecular microbypass implantat ion with phacoemulsification in moderately advanced primary open angle glaucoma","URL":"http://dx.doi.org/10.1371/journal.pone.0257015","volume":"16","author":[{"family":"Ansari","given":"Ejaz"}],"issued":{"date-parts":[["2021",9,16]]},"citation-key":"ansari2021"}},{"id":1679,"uris":["http://zotero.org/users/15573016/items/E3MVATJQ"],"itemData":{"id":1679,"type":"article-journal","abstract":"Abstract\n            \n              Purpose\n              To investigate the surgical success and efficacy of XEN45 implantation (XEN45 μm, AbbVie Inc., USA) with and without combined cataract surgery up to the first 5 years.\n            \n            \n              Methods\n              \n                In a prospective observational monocentric trial, 192 eyes of 157 patients with open‐angle glaucoma received either XEN45 implants only (\n                solo surgery group\n                ) or combined surgery/cataract surgeries (\n                combined surgery group\n                ). Surgical success (qualified and full success; IOP‐limit: ≤12, 15, 18, 21 mmHg), time to secondary IOP‐lowering procedure, IOP and number of IOP‐lowering medications were analysed for 1, 2, 3, 4 and 5 years.\n              \n            \n            \n              Results\n              \n                Compared to baseline, IOP (24.1 ± 8.1 to 12.6 ± 2.8 mmHg, −48%,\n                p\n                 &lt; 0.001) and the number of IOP‐lowering medications (3.0 ± 1.0 to 1.5 ± 1.2, −50%,\n                p\n                 &lt; 0.001) decreased significantly at 5 years. Although no differences between IOP and the number of IOP‐lowering medication courses between the groups were detected at 5 years (\n                p\n                 &gt; 0.11), the combined procedure (63%, 37%) showed better success rates compared to the solo procedure (36%, 13%) in the definition IOP ≤18 and ≤12 mmHg (\n                p\n                 = 0.035, 0.028). Solo XEN45 procedures had a higher rate of secondary IOP‐lowering procedures compared to combined XEN45 cataract procedures (hazard ratio: 2.02, 95%CI: 1.03–3.97,\n                p\n                 = 0.04). Twenty per cent of the eyes, including both procedures, required a secondary IOP‐lowering procedure within 5 years.\n              \n            \n            \n              Conclusions\n              The XEN45 implant is effective in lowering IOP and the number of IOP‐lowering medications in patients with open‐angle glaucoma in the mid‐term. Comparing XEN45 implant results with the results of trabeculectomy available in current literature, we speculate that there might be a higher surgical success rate without medications in favour of trabeculectomy.","container-title":"Acta Ophthalmologica","DOI":"10.1111/aos.16668","ISSN":"1755-375X, 1755-3768","issue":"6","journalAbbreviation":"Acta Ophthalmologica","language":"en","source":"DOI.org (Crossref)","title":"Mid‐term surgical success after transscleral ab interno glaucoma gel stent implantation","URL":"https://onlinelibrary.wiley.com/doi/10.1111/aos.16668","volume":"102","author":[{"family":"Lenzhofer","given":"Markus"},{"family":"Hohensinn","given":"Melchior"},{"family":"Steiner","given":"Veit"},{"family":"Hitzl","given":"Wolfgang"},{"family":"Runge","given":"Christian"},{"family":"Trost","given":"Andrea"},{"family":"Colvin","given":"Hans Peter"},{"family":"Brunner","given":"Susanne"},{"family":"Preishuber‐Pflügl","given":"Julia"},{"family":"Reitsamer","given":"Herbert A."}],"accessed":{"date-parts":[["2025",6,30]]},"issued":{"date-parts":[["2024",9]]},"citation-key":"lenzhofer2024"}},{"id":1682,"uris":["http://zotero.org/users/15573016/items/SXYD3IBW"],"itemData":{"id":1682,"type":"article-journal","abstract":"Précis:\n              XEN 45 Gel Stent is safe and effective for 3 years. The study results provide useful insight into the outcome of XEN 45 Gel Stent surgery over 5 years in daily clinical practice.\n            \n            \n              Purpose:\n              To evaluate 5-year outcomes of XEN 45 gel stent implantation (XEN) in patients with open angle glaucoma.\n            \n            \n              Methods:\n              This is a prospective, single-center, interventional study. XEN implantation either alone (XEN) or combined with phacoemulsification (Phaco + XEN) was performed on 170 consecutive eyes (126 patients) with uncontrolled intraocular pressure (IOP) or disease progression despite medical treatment. “Complete” surgical success at 60 months was defined as unmedicated IOP ≤15 mm Hg and a relative IOP reduction ≥20% from medicated baseline, while “qualified” success allowed fewer ocular hypotensive medications than at baseline. Other definitions of success with various IOP targets were also analyzed. Secondary outcomes included mean IOP and IOP-lowering medication changes and rates of reoperations.\n            \n            \n              Results:\n              \n                Mean age was 78.1±9.2 years, and 70.3% were female. Mean medicated IOP decreased from 19.8±7.7 mm Hg [19.6±7.1 (XEN) vs. 19.8±7.0 mm Hg (Phaco+XEN)] at baseline to 12.6±3.1 mm Hg [12.5± 3.1 (XEN) vs. 12.6±3.1 (Phaco+XEN)] at 5 years (−37.0%;\n                P\n                &lt; 0.001). Medications decreased from 2.0±1.3 [2.0±1.3 (XEN) vs. 2.0±1.3 (Phaco+XEN)] to 0.8±1.1 [0.8±1.1 (XEN) vs. 0.8±1.1 (Phaco + XEN)] (−60%;\n                P\n                &lt;0.001). Needling was performed in 84 eyes (49%), and 19.4% underwent a secondary surgical intervention. Complete success at 3 years was a strong predictor of success at 5 years (odds ratio: 3.06,\n                P\n                &lt;0.01), while needling was associated with higher rates of failure (odds ratio: 3.6,\n                P\n                &lt;0.01).\n              \n            \n            \n              Conclusions:\n              At 5 years, XEN gel stent implantation was a safe procedure and achieved clinically meaningful IOP and medication reduction. Success at 3 years is a predictor of success at 5 years. Needling correlates with higher failure rates.","container-title":"Journal of Glaucoma","DOI":"10.1097/IJG.0000000000002302","ISSN":"1057-0829","issue":"11","language":"en","page":"909-917","source":"DOI.org (Crossref)","title":"XEN 45 Gel Stent Implantation in Open Angle Glaucoma: 5-Year Results of a Prospective Study","title-short":"XEN 45 Gel Stent Implantation in Open Angle Glaucoma","URL":"https://journals.lww.com/10.1097/IJG.0000000000002302","volume":"32","author":[{"family":"Torbey","given":"Julien"},{"family":"Paillard","given":"Archibald"},{"family":"Rao","given":"Harsha L."},{"family":"Gillman","given":"Kevin"},{"family":"Bravetti","given":"Giorgio E."},{"family":"Mermoud","given":"André"},{"family":"Mansouri","given":"Kaweh"}],"accessed":{"date-parts":[["2025",6,30]]},"issued":{"date-parts":[["2023",11]]},"citation-key":"torbey2023"}}],"schema":"https://github.com/citation-style-language/schema/raw/master/csl-citation.json"} </w:instrText>
      </w:r>
      <w:r w:rsidR="00662715">
        <w:fldChar w:fldCharType="separate"/>
      </w:r>
      <w:r w:rsidR="00662715">
        <w:rPr>
          <w:noProof/>
        </w:rPr>
        <w:t>(Ansari, 2021; Lenzhofer et al., 2024; Torbey et al., 2023)</w:t>
      </w:r>
      <w:r w:rsidR="00662715">
        <w:fldChar w:fldCharType="end"/>
      </w:r>
      <w:r w:rsidR="00662715">
        <w:t xml:space="preserve">. </w:t>
      </w:r>
      <w:r>
        <w:t xml:space="preserve">Complete success </w:t>
      </w:r>
      <w:r w:rsidR="004174F2">
        <w:t xml:space="preserve">studies </w:t>
      </w:r>
      <w:r>
        <w:t>was defined as unmedicated IOP ≤15 mmHg with a ≥20% reduction from baseline.</w:t>
      </w:r>
      <w:r w:rsidR="006F40F8">
        <w:t xml:space="preserve"> </w:t>
      </w:r>
      <w:r>
        <w:t xml:space="preserve">Five-year data for the Preserflo MicroShunt </w:t>
      </w:r>
      <w:r w:rsidR="004174F2">
        <w:t>show an overall complete success rate of</w:t>
      </w:r>
      <w:r>
        <w:t xml:space="preserve"> over 61%</w:t>
      </w:r>
      <w:r w:rsidR="004174F2">
        <w:t xml:space="preserve">. Additionally, </w:t>
      </w:r>
      <w:r>
        <w:t>lower reoperation rates</w:t>
      </w:r>
      <w:r w:rsidR="004174F2">
        <w:t xml:space="preserve"> have been reported </w:t>
      </w:r>
      <w:r w:rsidR="00662715">
        <w:fldChar w:fldCharType="begin"/>
      </w:r>
      <w:r w:rsidR="00662715">
        <w:instrText xml:space="preserve"> ADDIN ZOTERO_ITEM CSL_CITATION {"citationID":"1Jj2SuNA","properties":{"formattedCitation":"(Batlle et al., 2016; Scheres et al., 2025)","plainCitation":"(Batlle et al., 2016; Scheres et al., 2025)","noteIndex":0},"citationItems":[{"id":1389,"uris":["http://zotero.org/users/15573016/items/MJESDKEA"],"itemData":{"id":1389,"type":"article-journal","abstract":"AIMS: An observational study to determine the safety and efficacy of filtering surgery employing a microlumen aqueous drainage device (InnFocus MicroShunt), used intraoperatively with Mitomycin C, implanted alone or in combination with phacoemulsification.\nMATERIALS AND METHODS: Single-site, prospective, nonrandomized study of 23 eyes that had failed maximum tolerated glaucoma medication, followed for 3 years. A MicroShunt was implanted ab externo through a needle tract under the limbus, draining aqueous from the anterior chamber to the scleral surface. Prespecified outcome measures include: intraocular pressure (IOP) control, with and without supplemental medication, success rate, medication use, and adverse events.\nRESULTS: Fourteen patients received the MicroShunt alone and 9 with cataract surgery. At 1 (n=23), 2 (n=22), and 3 (n=22) years of follow-up; the qualified success rate (IOP ≤ 14 mm Hg and IOP reduction ≥ 20%) was 100%, 91%, and 95%; mean medicated IOP was reduced from 23.8 ± 5.3 to 10.7 ± 2.8, 11.9 ± 3.7, and 10.7 ± 3.5 mm Hg, and the mean number of glaucoma medications/patient was reduced from 2.4 ± 0.9 to 0.3 ± 0.8, 0.4 ± 1.0, and 0.7 ± 1.1, respectively. The most common complications were transient hypotony (13%, 3/23) and transient choroidal effusion (8.7%, 2/23), all resolved spontaneously. There were no leaks, infections, migrations, erosions, persistent corneal edema, or serious long-term adverse events.\nCONCLUSION: Surgery with the InnFocus MicroShunt transscleral aqueous drainage tube with Mitomycin C achieved IOP control in the low teens in most subjects up to 3 years of follow-up with only transient adverse events occurring within the first 3 months after surgery.","container-title":"Journal of Glaucoma","DOI":"10.1097/IJG.0000000000000368","ISSN":"1536-481X","issue":"2","journalAbbreviation":"J Glaucoma","language":"eng","note":"PMID: 26766400","page":"e58-65","source":"PubMed","title":"Three-Year Follow-up of a Novel Aqueous Humor MicroShunt","volume":"25","author":[{"family":"Batlle","given":"Juan F."},{"family":"Fantes","given":"Francisco"},{"family":"Riss","given":"Isabelle"},{"family":"Pinchuk","given":"Leonard"},{"family":"Alburquerque","given":"Rachel"},{"family":"Kato","given":"Yasushi P."},{"family":"Arrieta","given":"Esdras"},{"family":"Peralta","given":"Adalgisa Corona"},{"family":"Palmberg","given":"Paul"},{"family":"Parrish","given":"Richard K."},{"family":"Weber","given":"Bruce A."},{"family":"Parel","given":"Jean-Marie"}],"issued":{"date-parts":[["2016",2]]},"citation-key":"batlle2016"}},{"id":1684,"uris":["http://zotero.org/users/15573016/items/FIX7NGCX"],"itemData":{"id":1684,"type":"article-journal","abstract":"Abstract\n            \n              Purpose\n              To report on five-year results with the PreserFlo MicroShunt (MicroShunt) for the surgical treatment of open-angle glaucoma.\n            \n            \n              Patients and methods\n              Retrospective case series of consecutive patients who underwent a stand-alone MicroShunt implantation at the University Eye Clinic of Maastricht. If a patient underwent the procedure in both eyes, only the first eye was included in the analysis. MicroShunt implantation was augmented with 0.2 mg/ml mitomycin-C. The primary outcome was intraocular pressure (IOP) during follow-up. Furthermore, information on IOP-lowering medication use, success rates, reoperation rates, and postoperative complications was collected.\n            \n            \n              Results\n              \n                Sixty-six eyes were included for analyses. Diagnoses included primary open-angle glaucoma (88%) and pigmentary glaucoma (12%). The majority of patients had moderate or advanced glaucoma, based on the mean deviation of the visual field examination. Mean (95% - confidence interval) IOP dropped from 21.8 (20.8–22.8) at baseline to 13.2 (11.8–14.6) mmHg after 5 years (\n                p\n                 &lt; 0.001). Mean number of IOP-lowering medications was reduced from 2.5 (2.2–2.9) at baseline to 0.9 (0.5–1.2), 1.0 (0.7–1.4), and 1.1 (0.7–1.5) after three, four, and five years (all\n                p\n                 &lt; 0.001). Needling or surgical revision was performed in twelve eyes (18%). Nineteen eyes (29%) required further IOP-lowering surgery. Postoperative complications were usually mild and self-limiting and included early hypotony, shallow anterior chamber, and hyphaema.\n              \n            \n            \n              Conclusions\n              After five years, the MicroShunt was found to be a safe procedure, leading to a sustained reduction in mean IOP and number of IOP-lowering medications. However, almost one third of the eyes required further IOP-lowering interventions.","container-title":"Eye","DOI":"10.1038/s41433-025-03707-3","ISSN":"0950-222X, 1476-5454","issue":"8","journalAbbreviation":"Eye","language":"en","page":"1540-1546","source":"DOI.org (Crossref)","title":"Five-year follow-up with the PreserFlo MicroShunt for open-angle glaucoma","URL":"https://www.nature.com/articles/s41433-025-03707-3","volume":"39","author":[{"family":"Scheres","given":"Lotte M. J."},{"family":"Kujovic-Aleksov","given":"Stefani"},{"family":"Winkens","given":"Bjorn"},{"family":"De Crom","given":"Ronald M. P. C."},{"family":"Webers","given":"Carroll A. B."},{"family":"Beckers","given":"Henny J. M."}],"accessed":{"date-parts":[["2025",6,30]]},"issued":{"date-parts":[["2025",6]]},"citation-key":"scheres2025"}}],"schema":"https://github.com/citation-style-language/schema/raw/master/csl-citation.json"} </w:instrText>
      </w:r>
      <w:r w:rsidR="00662715">
        <w:fldChar w:fldCharType="separate"/>
      </w:r>
      <w:r w:rsidR="00662715">
        <w:rPr>
          <w:noProof/>
        </w:rPr>
        <w:t>(Batlle et al., 2016; Scheres et al., 2025)</w:t>
      </w:r>
      <w:r w:rsidR="00662715">
        <w:fldChar w:fldCharType="end"/>
      </w:r>
      <w:r>
        <w:t>.</w:t>
      </w:r>
      <w:r w:rsidR="00F5594E">
        <w:t xml:space="preserve"> </w:t>
      </w:r>
    </w:p>
    <w:p w14:paraId="285821D1" w14:textId="77777777" w:rsidR="00EC587B" w:rsidRDefault="00EC587B" w:rsidP="003A0B82">
      <w:pPr>
        <w:spacing w:line="360" w:lineRule="auto"/>
        <w:jc w:val="both"/>
        <w:rPr>
          <w:rStyle w:val="Strong"/>
          <w:b w:val="0"/>
          <w:bCs w:val="0"/>
          <w:color w:val="0E101A"/>
        </w:rPr>
      </w:pPr>
    </w:p>
    <w:p w14:paraId="6BEBA1DD" w14:textId="287190A1" w:rsidR="00F5594E" w:rsidRDefault="004174F2" w:rsidP="003A0B82">
      <w:pPr>
        <w:spacing w:line="360" w:lineRule="auto"/>
        <w:jc w:val="both"/>
      </w:pPr>
      <w:r w:rsidRPr="004174F2">
        <w:rPr>
          <w:rStyle w:val="Strong"/>
          <w:b w:val="0"/>
          <w:bCs w:val="0"/>
          <w:color w:val="0E101A"/>
        </w:rPr>
        <w:t>Postoper</w:t>
      </w:r>
      <w:r>
        <w:rPr>
          <w:rStyle w:val="Strong"/>
          <w:b w:val="0"/>
          <w:bCs w:val="0"/>
          <w:color w:val="0E101A"/>
        </w:rPr>
        <w:t>ative complications</w:t>
      </w:r>
      <w:r w:rsidR="00A2654F">
        <w:rPr>
          <w:rStyle w:val="Strong"/>
          <w:b w:val="0"/>
          <w:bCs w:val="0"/>
          <w:color w:val="0E101A"/>
        </w:rPr>
        <w:t xml:space="preserve"> (</w:t>
      </w:r>
      <w:r w:rsidR="00A2654F" w:rsidRPr="00A2654F">
        <w:rPr>
          <w:rStyle w:val="Strong"/>
          <w:b w:val="0"/>
          <w:bCs w:val="0"/>
          <w:i/>
          <w:iCs/>
          <w:color w:val="0E101A"/>
        </w:rPr>
        <w:fldChar w:fldCharType="begin"/>
      </w:r>
      <w:r w:rsidR="00A2654F" w:rsidRPr="00A2654F">
        <w:rPr>
          <w:rStyle w:val="Strong"/>
          <w:b w:val="0"/>
          <w:bCs w:val="0"/>
          <w:i/>
          <w:iCs/>
          <w:color w:val="0E101A"/>
        </w:rPr>
        <w:instrText xml:space="preserve"> REF _Ref213182354 \h </w:instrText>
      </w:r>
      <w:r w:rsidR="00A2654F" w:rsidRPr="00A2654F">
        <w:rPr>
          <w:rStyle w:val="Strong"/>
          <w:b w:val="0"/>
          <w:bCs w:val="0"/>
          <w:i/>
          <w:iCs/>
          <w:color w:val="0E101A"/>
        </w:rPr>
      </w:r>
      <w:r w:rsidR="00A2654F">
        <w:rPr>
          <w:rStyle w:val="Strong"/>
          <w:b w:val="0"/>
          <w:bCs w:val="0"/>
          <w:i/>
          <w:iCs/>
          <w:color w:val="0E101A"/>
        </w:rPr>
        <w:instrText xml:space="preserve"> \* MERGEFORMAT </w:instrText>
      </w:r>
      <w:r w:rsidR="00A2654F" w:rsidRPr="00A2654F">
        <w:rPr>
          <w:rStyle w:val="Strong"/>
          <w:b w:val="0"/>
          <w:bCs w:val="0"/>
          <w:i/>
          <w:iCs/>
          <w:color w:val="0E101A"/>
        </w:rPr>
        <w:fldChar w:fldCharType="separate"/>
      </w:r>
      <w:proofErr w:type="spellStart"/>
      <w:r w:rsidR="00A2654F" w:rsidRPr="00A2654F">
        <w:rPr>
          <w:i/>
          <w:iCs/>
          <w:lang w:val="nb-NO"/>
        </w:rPr>
        <w:t>Table</w:t>
      </w:r>
      <w:proofErr w:type="spellEnd"/>
      <w:r w:rsidR="00A2654F" w:rsidRPr="00A2654F">
        <w:rPr>
          <w:i/>
          <w:iCs/>
          <w:lang w:val="nb-NO"/>
        </w:rPr>
        <w:t xml:space="preserve"> </w:t>
      </w:r>
      <w:r w:rsidR="00A2654F" w:rsidRPr="00A2654F">
        <w:rPr>
          <w:i/>
          <w:iCs/>
          <w:noProof/>
          <w:lang w:val="nb-NO"/>
        </w:rPr>
        <w:t>5</w:t>
      </w:r>
      <w:r w:rsidR="00A2654F" w:rsidRPr="00A2654F">
        <w:rPr>
          <w:rStyle w:val="Strong"/>
          <w:b w:val="0"/>
          <w:bCs w:val="0"/>
          <w:i/>
          <w:iCs/>
          <w:color w:val="0E101A"/>
        </w:rPr>
        <w:fldChar w:fldCharType="end"/>
      </w:r>
      <w:r w:rsidR="00A2654F">
        <w:rPr>
          <w:rStyle w:val="Strong"/>
          <w:b w:val="0"/>
          <w:bCs w:val="0"/>
          <w:color w:val="0E101A"/>
        </w:rPr>
        <w:t>)</w:t>
      </w:r>
      <w:r>
        <w:rPr>
          <w:rStyle w:val="Strong"/>
          <w:b w:val="0"/>
          <w:bCs w:val="0"/>
          <w:color w:val="0E101A"/>
        </w:rPr>
        <w:t xml:space="preserve"> are linked to the technique used in MIFS. The combination of a minimally invasive approach </w:t>
      </w:r>
      <w:r w:rsidR="00EC587B">
        <w:rPr>
          <w:rStyle w:val="Strong"/>
          <w:b w:val="0"/>
          <w:bCs w:val="0"/>
          <w:color w:val="0E101A"/>
        </w:rPr>
        <w:t>and</w:t>
      </w:r>
      <w:r>
        <w:rPr>
          <w:rStyle w:val="Strong"/>
          <w:b w:val="0"/>
          <w:bCs w:val="0"/>
          <w:color w:val="0E101A"/>
        </w:rPr>
        <w:t xml:space="preserve"> bleb </w:t>
      </w:r>
      <w:r w:rsidR="00EC587B">
        <w:rPr>
          <w:rStyle w:val="Strong"/>
          <w:b w:val="0"/>
          <w:bCs w:val="0"/>
          <w:color w:val="0E101A"/>
        </w:rPr>
        <w:t>filtration</w:t>
      </w:r>
      <w:r>
        <w:rPr>
          <w:rStyle w:val="Strong"/>
          <w:b w:val="0"/>
          <w:bCs w:val="0"/>
          <w:color w:val="0E101A"/>
        </w:rPr>
        <w:t xml:space="preserve"> </w:t>
      </w:r>
      <w:r w:rsidR="00EC587B">
        <w:rPr>
          <w:rStyle w:val="Strong"/>
          <w:b w:val="0"/>
          <w:bCs w:val="0"/>
          <w:color w:val="0E101A"/>
        </w:rPr>
        <w:t>influences</w:t>
      </w:r>
      <w:r>
        <w:rPr>
          <w:rStyle w:val="Strong"/>
          <w:b w:val="0"/>
          <w:bCs w:val="0"/>
          <w:color w:val="0E101A"/>
        </w:rPr>
        <w:t xml:space="preserve"> postoperative complications. Early complications are predominantly linked to overfiltration, and late complications are associated with postoperative wound-healing</w:t>
      </w:r>
      <w:bookmarkStart w:id="32" w:name="_Hlk212800639"/>
      <w:r>
        <w:rPr>
          <w:rStyle w:val="Strong"/>
          <w:b w:val="0"/>
          <w:bCs w:val="0"/>
          <w:color w:val="0E101A"/>
        </w:rPr>
        <w:t xml:space="preserve"> </w:t>
      </w:r>
      <w:r w:rsidR="00662715">
        <w:fldChar w:fldCharType="begin"/>
      </w:r>
      <w:r w:rsidR="00662715">
        <w:instrText xml:space="preserve"> ADDIN ZOTERO_ITEM CSL_CITATION {"citationID":"CXClYxKH","properties":{"formattedCitation":"(Gan et al., 2024; Tanner et al., 2023)","plainCitation":"(Gan et al., 2024; Tanner et al., 2023)","noteIndex":0},"citationItems":[{"id":1635,"uris":["http://zotero.org/users/15573016/items/Z9HG3MJP"],"itemData":{"id":1635,"type":"article-journal","abstract":"Aim\n              This study was aimed to summarize the complications and their management associated with XEN gel stent implantation.\n            \n            \n              Methods\n              A systematic review of literature was conducted using Medline (via PubMed), EMBASE, the Cochrane Library databases, and China National Knowledge Infrastructure, from their inception to February 1, 2024.\n            \n            \n              Results\n              A total of 48 studies published between 2017 and 2024 were identified and included in the systematic review, including 16 original studies (retrospective or prospective clinical studies), 28 case reports, and 4 case series, which followed patients for up to 5 years. Early postoperative complications of XEN gel stent implantation include hypotony maculopathy (1.9–4.6%), occlusion (3.9–8.8%), suprachoroidal hemorrhage (SCH), choroidal detachment (0–15%), conjunctival erosion, and exposure of the XEN gel stent (1.1–2.3%), wound and bleb leaks (2.1%) and malignant glaucoma (MG) (2.2%). Mid-postoperative complications of XEN gel stent implantation included migration of XEN (1.5%), ptosis (1.2%), endophthalmitis (0.4–3%), macular edema (1.5–4.3%), hypertrophic bleb (8.8%) and subconjunctival XEN gel stent fragmentation (reported in 2 cases). Late postoperative complications reported in cases included spontaneous dislocation and intraocular degradation.\n            \n            \n              Conclusion\n              XEN gel stent implantation is a minimally invasive glaucoma surgery (MIGS) procedure for glaucoma, known for its potential to minimize tissue damage and reduce surgical duration. However, it is crucial to note that despite these advantages, there remains a risk of severe complications, including endophthalmitis, SCH, and MG. Therefore, postoperative follow-up and early recognition of severe complications are essential for surgical management.","container-title":"Frontiers in Medicine","DOI":"10.3389/fmed.2024.1360051","ISSN":"2296-858X","journalAbbreviation":"Front. Med.","page":"1360051","source":"DOI.org (Crossref)","title":"Complications of XEN gel stent implantation for the treatment of glaucoma: a systematic review","title-short":"Complications of XEN gel stent implantation for the treatment of glaucoma","URL":"https://www.frontiersin.org/articles/10.3389/fmed.2024.1360051/full","volume":"11","author":[{"family":"Gan","given":"Lu"},{"family":"Wang","given":"Lixiang"},{"family":"Chen","given":"Jun"},{"family":"Tang","given":"Li"}],"accessed":{"date-parts":[["2025",6,30]]},"issued":{"date-parts":[["2024",5,6]]},"citation-key":"gan2024b"}},{"id":1630,"uris":["http://zotero.org/users/15573016/items/GHMAGJ86"],"itemData":{"id":1630,"type":"article-journal","abstract":"Background/aims\n              To evaluate the efficacy and safety of the PreserFlo MicroShunt glaucoma device in a multicentre cohort study.\n            \n            \n              Methods\n              All consecutive patients who received the microshunt with mitomycin-C (MMC) 0.4 mg/mL from May 2019 to September 2020 in three UK tertiary centres. Primary outcome at 1 year was a complete success, with failure defined as intraocular pressure (IOP) &gt;21 mmHg or &lt;20% reduction, IOP≤5 mmHg with any decreased vision on two consecutive visits, reoperation or loss of light perception vision. Secondary outcomes were IOP, best-corrected visual acuity, medications, complications, interventions and reoperations. We also performed subgroup analyses for severe glaucoma and assessed risk factors for failure.\n            \n            \n              Results\n              104 eyes had 1-year follow-up. Complete and qualified success at 1 year were achieved in 51.9% (N=54) and 16.4% (N=17), respectively, and failure occurred in 31.7% (N=33). There was a significant reduction in IOP (mmHg) from preoperatively (23.4±0.8, N=104) to 12 months (14.7±0.6, N=104) (p&lt;0.0001). Antiglaucoma medications also decreased from preoperatively (3.4±0.1, N=104) to 12 months (0.7±0.1, N=104) (p&lt;0.0001). Multivariate analyses showed an association between higher mean deviation and failure (HR 1.055, 95% CI 1.0075 to 1.11, p=0.0227). Complications were hypotony (19.2%; N=20), choroidal detachments (10.6%; N=11), hyphaema (5.8%; N=6) and bleb leak (5.8%; N=6). Needling and 5-fluorouracil injections were performed in 12.5% (N=13) and 33.7% (N=35), respectively, and 11.5% (N=12) required revision surgery.\n            \n            \n              Conclusion\n              The PreserFlo MicroShunt with MMC 0.4 mg/mL showed an overall success rate of 68.3% at 1 year, and led to significant IOP and medication reduction with a low rate of adverse effects.","container-title":"British Journal of Ophthalmology","DOI":"10.1136/bjophthalmol-2021-320631","ISSN":"0007-1161, 1468-2079","issue":"8","journalAbbreviation":"Br J Ophthalmol","language":"en","page":"1104-1111","source":"DOI.org (Crossref)","title":"One-year surgical outcomes of the PreserFlo MicroShunt in glaucoma: a multicentre analysis","title-short":"One-year surgical outcomes of the PreserFlo MicroShunt in glaucoma","URL":"https://bjo.bmj.com/lookup/doi/10.1136/bjophthalmol-2021-320631","volume":"107","author":[{"family":"Tanner","given":"Alexander"},{"family":"Haddad","given":"Fadi"},{"family":"Fajardo-Sanchez","given":"Julia"},{"family":"Nguyen","given":"Ethan"},{"family":"Thong","given":"Kai Xin"},{"family":"Ah-Moye","given":"Sarah"},{"family":"Perl","given":"Nicole"},{"family":"Abu-Bakra","given":"Mohammed"},{"family":"Kulkarni","given":"Avinash"},{"family":"Trikha","given":"Sameer"},{"family":"Lascaratos","given":"Gerassimos"},{"family":"Parnell","given":"Miles"},{"family":"Kailani","given":"Obeda"},{"family":"King","given":"Anthony J"},{"family":"Agrawal","given":"Pavi"},{"family":"Stead","given":"Richard"},{"family":"Giannouladis","given":"Konstantinos"},{"family":"Rodrigues","given":"Ian"},{"family":"Goyal","given":"Saurabh"},{"family":"Hysi","given":"Pirro G"},{"family":"Lim","given":"Sheng"},{"family":"Yu-Wai-Man","given":"Cynthia"}],"accessed":{"date-parts":[["2025",6,30]]},"issued":{"date-parts":[["2023",8]]},"citation-key":"tanner2023"}}],"schema":"https://github.com/citation-style-language/schema/raw/master/csl-citation.json"} </w:instrText>
      </w:r>
      <w:r w:rsidR="00662715">
        <w:fldChar w:fldCharType="separate"/>
      </w:r>
      <w:r w:rsidR="00662715">
        <w:rPr>
          <w:noProof/>
        </w:rPr>
        <w:t>(Gan et al., 2024; Tanner et al., 2023)</w:t>
      </w:r>
      <w:r w:rsidR="00662715">
        <w:fldChar w:fldCharType="end"/>
      </w:r>
      <w:bookmarkEnd w:id="32"/>
      <w:r w:rsidR="001861FE">
        <w:t>.</w:t>
      </w:r>
      <w:r w:rsidR="00F5594E">
        <w:t xml:space="preserve"> </w:t>
      </w:r>
      <w:r w:rsidR="001861FE">
        <w:t>Early postoperative complications (≤ 90 days) </w:t>
      </w:r>
      <w:r>
        <w:t xml:space="preserve">are mainly linked to </w:t>
      </w:r>
      <w:r w:rsidR="001861FE">
        <w:t xml:space="preserve">unregulated aqueous outflow through the newly established drainage </w:t>
      </w:r>
      <w:r>
        <w:t>pathway</w:t>
      </w:r>
      <w:r w:rsidR="001861FE">
        <w:t>. The most frequent</w:t>
      </w:r>
      <w:r>
        <w:t xml:space="preserve">ly reported complications </w:t>
      </w:r>
      <w:r w:rsidR="001861FE">
        <w:t>are transient hypotony (1–19%) and choroidal effusion or detachment (2–13%)</w:t>
      </w:r>
      <w:r>
        <w:t xml:space="preserve">. </w:t>
      </w:r>
      <w:r>
        <w:lastRenderedPageBreak/>
        <w:t>Those complications occur in the early postoperative phase</w:t>
      </w:r>
      <w:r w:rsidR="00EC587B">
        <w:t>,</w:t>
      </w:r>
      <w:r w:rsidR="001861FE">
        <w:t xml:space="preserve"> before the bleb capsule</w:t>
      </w:r>
      <w:r>
        <w:t xml:space="preserve"> is</w:t>
      </w:r>
      <w:r w:rsidR="001861FE">
        <w:t xml:space="preserve"> </w:t>
      </w:r>
      <w:r>
        <w:t xml:space="preserve">sufficiently </w:t>
      </w:r>
      <w:r w:rsidR="001861FE">
        <w:t>matur</w:t>
      </w:r>
      <w:r>
        <w:t>e</w:t>
      </w:r>
      <w:r w:rsidR="001861FE">
        <w:t xml:space="preserve"> </w:t>
      </w:r>
      <w:r>
        <w:t xml:space="preserve">to provide adequate </w:t>
      </w:r>
      <w:r w:rsidR="001861FE">
        <w:t>outflow resistance</w:t>
      </w:r>
      <w:r>
        <w:t xml:space="preserve"> </w:t>
      </w:r>
      <w:r w:rsidR="00EC587B">
        <w:t>and</w:t>
      </w:r>
      <w:r>
        <w:t xml:space="preserve"> </w:t>
      </w:r>
      <w:r w:rsidR="001861FE">
        <w:t>stabilize</w:t>
      </w:r>
      <w:r>
        <w:t xml:space="preserve"> aqueous outflow</w:t>
      </w:r>
      <w:r w:rsidR="001861FE">
        <w:t xml:space="preserve"> </w:t>
      </w:r>
      <w:bookmarkStart w:id="33" w:name="_Hlk212800694"/>
      <w:r w:rsidR="00662715">
        <w:fldChar w:fldCharType="begin"/>
      </w:r>
      <w:r w:rsidR="00662715">
        <w:instrText xml:space="preserve"> ADDIN ZOTERO_ITEM CSL_CITATION {"citationID":"EWDuMtbU","properties":{"formattedCitation":"(Mieno et al., 2025; Tanner et al., 2023)","plainCitation":"(Mieno et al., 2025; Tanner et al., 2023)","noteIndex":0},"citationItems":[{"id":1627,"uris":["http://zotero.org/users/15573016/items/HAWPC9HP"],"itemData":{"id":1627,"type":"article-journal","container-title":"Scientific Reports","DOI":"10.1038/s41598-025-92879-9","ISSN":"2045-2322","issue":"1","journalAbbreviation":"Sci Rep","language":"en","page":"8344","source":"DOI.org (Crossref)","title":"Risk factors and protective strategies for hypotony following preserflo microshunt implantation","URL":"https://www.nature.com/articles/s41598-025-92879-9","volume":"15","author":[{"family":"Mieno","given":"Hiroki"},{"family":"Mori","given":"Kazuhiko"},{"family":"Yoshii","given":"Kengo"},{"family":"Okada","given":"Yo"},{"family":"Ikeda","given":"Yoko"},{"family":"Ueno","given":"Morio"},{"family":"Sotozono","given":"Chie"}],"accessed":{"date-parts":[["2025",6,30]]},"issued":{"date-parts":[["2025",3,11]]},"citation-key":"mieno2025a"}},{"id":1630,"uris":["http://zotero.org/users/15573016/items/GHMAGJ86"],"itemData":{"id":1630,"type":"article-journal","abstract":"Background/aims\n              To evaluate the efficacy and safety of the PreserFlo MicroShunt glaucoma device in a multicentre cohort study.\n            \n            \n              Methods\n              All consecutive patients who received the microshunt with mitomycin-C (MMC) 0.4 mg/mL from May 2019 to September 2020 in three UK tertiary centres. Primary outcome at 1 year was a complete success, with failure defined as intraocular pressure (IOP) &gt;21 mmHg or &lt;20% reduction, IOP≤5 mmHg with any decreased vision on two consecutive visits, reoperation or loss of light perception vision. Secondary outcomes were IOP, best-corrected visual acuity, medications, complications, interventions and reoperations. We also performed subgroup analyses for severe glaucoma and assessed risk factors for failure.\n            \n            \n              Results\n              104 eyes had 1-year follow-up. Complete and qualified success at 1 year were achieved in 51.9% (N=54) and 16.4% (N=17), respectively, and failure occurred in 31.7% (N=33). There was a significant reduction in IOP (mmHg) from preoperatively (23.4±0.8, N=104) to 12 months (14.7±0.6, N=104) (p&lt;0.0001). Antiglaucoma medications also decreased from preoperatively (3.4±0.1, N=104) to 12 months (0.7±0.1, N=104) (p&lt;0.0001). Multivariate analyses showed an association between higher mean deviation and failure (HR 1.055, 95% CI 1.0075 to 1.11, p=0.0227). Complications were hypotony (19.2%; N=20), choroidal detachments (10.6%; N=11), hyphaema (5.8%; N=6) and bleb leak (5.8%; N=6). Needling and 5-fluorouracil injections were performed in 12.5% (N=13) and 33.7% (N=35), respectively, and 11.5% (N=12) required revision surgery.\n            \n            \n              Conclusion\n              The PreserFlo MicroShunt with MMC 0.4 mg/mL showed an overall success rate of 68.3% at 1 year, and led to significant IOP and medication reduction with a low rate of adverse effects.","container-title":"British Journal of Ophthalmology","DOI":"10.1136/bjophthalmol-2021-320631","ISSN":"0007-1161, 1468-2079","issue":"8","journalAbbreviation":"Br J Ophthalmol","language":"en","page":"1104-1111","source":"DOI.org (Crossref)","title":"One-year surgical outcomes of the PreserFlo MicroShunt in glaucoma: a multicentre analysis","title-short":"One-year surgical outcomes of the PreserFlo MicroShunt in glaucoma","URL":"https://bjo.bmj.com/lookup/doi/10.1136/bjophthalmol-2021-320631","volume":"107","author":[{"family":"Tanner","given":"Alexander"},{"family":"Haddad","given":"Fadi"},{"family":"Fajardo-Sanchez","given":"Julia"},{"family":"Nguyen","given":"Ethan"},{"family":"Thong","given":"Kai Xin"},{"family":"Ah-Moye","given":"Sarah"},{"family":"Perl","given":"Nicole"},{"family":"Abu-Bakra","given":"Mohammed"},{"family":"Kulkarni","given":"Avinash"},{"family":"Trikha","given":"Sameer"},{"family":"Lascaratos","given":"Gerassimos"},{"family":"Parnell","given":"Miles"},{"family":"Kailani","given":"Obeda"},{"family":"King","given":"Anthony J"},{"family":"Agrawal","given":"Pavi"},{"family":"Stead","given":"Richard"},{"family":"Giannouladis","given":"Konstantinos"},{"family":"Rodrigues","given":"Ian"},{"family":"Goyal","given":"Saurabh"},{"family":"Hysi","given":"Pirro G"},{"family":"Lim","given":"Sheng"},{"family":"Yu-Wai-Man","given":"Cynthia"}],"accessed":{"date-parts":[["2025",6,30]]},"issued":{"date-parts":[["2023",8]]},"citation-key":"tanner2023"}}],"schema":"https://github.com/citation-style-language/schema/raw/master/csl-citation.json"} </w:instrText>
      </w:r>
      <w:r w:rsidR="00662715">
        <w:fldChar w:fldCharType="separate"/>
      </w:r>
      <w:r w:rsidR="00662715">
        <w:rPr>
          <w:noProof/>
        </w:rPr>
        <w:t>(Mieno et al., 2025; Tanner et al., 2023)</w:t>
      </w:r>
      <w:r w:rsidR="00662715">
        <w:fldChar w:fldCharType="end"/>
      </w:r>
      <w:bookmarkEnd w:id="33"/>
      <w:r w:rsidR="00662715">
        <w:t xml:space="preserve">. </w:t>
      </w:r>
      <w:r>
        <w:t xml:space="preserve">Choroidal effusion or even detachment can be explained by postoperative hypotony. Hypotony </w:t>
      </w:r>
      <w:r w:rsidR="00B32BF6">
        <w:t>enables</w:t>
      </w:r>
      <w:r>
        <w:t xml:space="preserve"> fluid t</w:t>
      </w:r>
      <w:r w:rsidR="00B32BF6">
        <w:t>o</w:t>
      </w:r>
      <w:r>
        <w:t xml:space="preserve"> </w:t>
      </w:r>
      <w:r w:rsidR="00B32BF6">
        <w:t>transudate into</w:t>
      </w:r>
      <w:r>
        <w:t xml:space="preserve"> the suprachoroidal space. </w:t>
      </w:r>
      <w:r w:rsidR="00B32BF6">
        <w:t xml:space="preserve">This reported complication often resolves with conservative management. As is common in other surgical modalities, post-MIFS hyphaema can also occur. </w:t>
      </w:r>
      <w:r w:rsidR="001861FE">
        <w:t>Hyphaema </w:t>
      </w:r>
      <w:r w:rsidR="00B32BF6">
        <w:t xml:space="preserve">has been reported in </w:t>
      </w:r>
      <w:r w:rsidR="001861FE">
        <w:t>2–12%</w:t>
      </w:r>
      <w:r w:rsidR="00B32BF6">
        <w:t>. It</w:t>
      </w:r>
      <w:r w:rsidR="001861FE">
        <w:t xml:space="preserve"> may accompany early postoperative inflammation due to microvascular trauma at the scleral or subconjunctival site</w:t>
      </w:r>
      <w:r w:rsidR="0077088A">
        <w:t xml:space="preserve"> </w:t>
      </w:r>
      <w:bookmarkStart w:id="34" w:name="_Hlk212800776"/>
      <w:r w:rsidR="00662715">
        <w:fldChar w:fldCharType="begin"/>
      </w:r>
      <w:r w:rsidR="003619AA">
        <w:instrText xml:space="preserve"> ADDIN ZOTERO_ITEM CSL_CITATION {"citationID":"iFdGYSa7","properties":{"formattedCitation":"(Mieno et al., 2025; Tanner et al., 2023)","plainCitation":"(Mieno et al., 2025; Tanner et al., 2023)","noteIndex":0},"citationItems":[{"id":1627,"uris":["http://zotero.org/users/15573016/items/HAWPC9HP"],"itemData":{"id":1627,"type":"article-journal","container-title":"Scientific Reports","DOI":"10.1038/s41598-025-92879-9","ISSN":"2045-2322","issue":"1","journalAbbreviation":"Sci Rep","language":"en","page":"8344","source":"DOI.org (Crossref)","title":"Risk factors and protective strategies for hypotony following preserflo microshunt implantation","URL":"https://www.nature.com/articles/s41598-025-92879-9","volume":"15","author":[{"family":"Mieno","given":"Hiroki"},{"family":"Mori","given":"Kazuhiko"},{"family":"Yoshii","given":"Kengo"},{"family":"Okada","given":"Yo"},{"family":"Ikeda","given":"Yoko"},{"family":"Ueno","given":"Morio"},{"family":"Sotozono","given":"Chie"}],"accessed":{"date-parts":[["2025",6,30]]},"issued":{"date-parts":[["2025",3,11]]},"citation-key":"mieno2025a"}},{"id":1630,"uris":["http://zotero.org/users/15573016/items/GHMAGJ86"],"itemData":{"id":1630,"type":"article-journal","abstract":"Background/aims\n              To evaluate the efficacy and safety of the PreserFlo MicroShunt glaucoma device in a multicentre cohort study.\n            \n            \n              Methods\n              All consecutive patients who received the microshunt with mitomycin-C (MMC) 0.4 mg/mL from May 2019 to September 2020 in three UK tertiary centres. Primary outcome at 1 year was a complete success, with failure defined as intraocular pressure (IOP) &gt;21 mmHg or &lt;20% reduction, IOP≤5 mmHg with any decreased vision on two consecutive visits, reoperation or loss of light perception vision. Secondary outcomes were IOP, best-corrected visual acuity, medications, complications, interventions and reoperations. We also performed subgroup analyses for severe glaucoma and assessed risk factors for failure.\n            \n            \n              Results\n              104 eyes had 1-year follow-up. Complete and qualified success at 1 year were achieved in 51.9% (N=54) and 16.4% (N=17), respectively, and failure occurred in 31.7% (N=33). There was a significant reduction in IOP (mmHg) from preoperatively (23.4±0.8, N=104) to 12 months (14.7±0.6, N=104) (p&lt;0.0001). Antiglaucoma medications also decreased from preoperatively (3.4±0.1, N=104) to 12 months (0.7±0.1, N=104) (p&lt;0.0001). Multivariate analyses showed an association between higher mean deviation and failure (HR 1.055, 95% CI 1.0075 to 1.11, p=0.0227). Complications were hypotony (19.2%; N=20), choroidal detachments (10.6%; N=11), hyphaema (5.8%; N=6) and bleb leak (5.8%; N=6). Needling and 5-fluorouracil injections were performed in 12.5% (N=13) and 33.7% (N=35), respectively, and 11.5% (N=12) required revision surgery.\n            \n            \n              Conclusion\n              The PreserFlo MicroShunt with MMC 0.4 mg/mL showed an overall success rate of 68.3% at 1 year, and led to significant IOP and medication reduction with a low rate of adverse effects.","container-title":"British Journal of Ophthalmology","DOI":"10.1136/bjophthalmol-2021-320631","ISSN":"0007-1161, 1468-2079","issue":"8","journalAbbreviation":"Br J Ophthalmol","language":"en","page":"1104-1111","source":"DOI.org (Crossref)","title":"One-year surgical outcomes of the PreserFlo MicroShunt in glaucoma: a multicentre analysis","title-short":"One-year surgical outcomes of the PreserFlo MicroShunt in glaucoma","URL":"https://bjo.bmj.com/lookup/doi/10.1136/bjophthalmol-2021-320631","volume":"107","author":[{"family":"Tanner","given":"Alexander"},{"family":"Haddad","given":"Fadi"},{"family":"Fajardo-Sanchez","given":"Julia"},{"family":"Nguyen","given":"Ethan"},{"family":"Thong","given":"Kai Xin"},{"family":"Ah-Moye","given":"Sarah"},{"family":"Perl","given":"Nicole"},{"family":"Abu-Bakra","given":"Mohammed"},{"family":"Kulkarni","given":"Avinash"},{"family":"Trikha","given":"Sameer"},{"family":"Lascaratos","given":"Gerassimos"},{"family":"Parnell","given":"Miles"},{"family":"Kailani","given":"Obeda"},{"family":"King","given":"Anthony J"},{"family":"Agrawal","given":"Pavi"},{"family":"Stead","given":"Richard"},{"family":"Giannouladis","given":"Konstantinos"},{"family":"Rodrigues","given":"Ian"},{"family":"Goyal","given":"Saurabh"},{"family":"Hysi","given":"Pirro G"},{"family":"Lim","given":"Sheng"},{"family":"Yu-Wai-Man","given":"Cynthia"}],"accessed":{"date-parts":[["2025",6,30]]},"issued":{"date-parts":[["2023",8]]},"citation-key":"tanner2023"}}],"schema":"https://github.com/citation-style-language/schema/raw/master/csl-citation.json"} </w:instrText>
      </w:r>
      <w:r w:rsidR="00662715">
        <w:fldChar w:fldCharType="separate"/>
      </w:r>
      <w:r w:rsidR="003619AA">
        <w:rPr>
          <w:noProof/>
        </w:rPr>
        <w:t>(Mieno et al., 2025; Tanner et al., 2023)</w:t>
      </w:r>
      <w:r w:rsidR="00662715">
        <w:fldChar w:fldCharType="end"/>
      </w:r>
      <w:bookmarkEnd w:id="34"/>
      <w:r w:rsidR="00B32BF6">
        <w:t>.</w:t>
      </w:r>
      <w:r w:rsidR="001861FE">
        <w:t> </w:t>
      </w:r>
      <w:r w:rsidR="00B32BF6">
        <w:t>B</w:t>
      </w:r>
      <w:r w:rsidR="001861FE">
        <w:t>leb leaks </w:t>
      </w:r>
      <w:r w:rsidR="00B32BF6">
        <w:t xml:space="preserve">occur in </w:t>
      </w:r>
      <w:r w:rsidR="001861FE">
        <w:t>0–6%</w:t>
      </w:r>
      <w:r w:rsidR="00B32BF6">
        <w:t xml:space="preserve"> of cases postoperatively.</w:t>
      </w:r>
      <w:r w:rsidR="001861FE">
        <w:t xml:space="preserve"> </w:t>
      </w:r>
      <w:r w:rsidR="000954D7">
        <w:t>Leaks</w:t>
      </w:r>
      <w:r w:rsidR="00B32BF6">
        <w:t xml:space="preserve"> reflect</w:t>
      </w:r>
      <w:r w:rsidR="001861FE">
        <w:t xml:space="preserve"> incomplete conjunctival closure or </w:t>
      </w:r>
      <w:r w:rsidR="00B32BF6">
        <w:t xml:space="preserve">bleb </w:t>
      </w:r>
      <w:r w:rsidR="001861FE">
        <w:t>overfiltration</w:t>
      </w:r>
      <w:r w:rsidR="0077088A">
        <w:t xml:space="preserve"> </w:t>
      </w:r>
      <w:r w:rsidR="003619AA">
        <w:fldChar w:fldCharType="begin"/>
      </w:r>
      <w:r w:rsidR="003619AA">
        <w:instrText xml:space="preserve"> ADDIN ZOTERO_ITEM CSL_CITATION {"citationID":"GH71t2rk","properties":{"formattedCitation":"(Gan et al., 2024; Park et al., 2023; Scheres et al., 2021; Tanner et al., 2023)","plainCitation":"(Gan et al., 2024; Park et al., 2023; Scheres et al., 2021; Tanner et al., 2023)","noteIndex":0},"citationItems":[{"id":1635,"uris":["http://zotero.org/users/15573016/items/Z9HG3MJP"],"itemData":{"id":1635,"type":"article-journal","abstract":"Aim\n              This study was aimed to summarize the complications and their management associated with XEN gel stent implantation.\n            \n            \n              Methods\n              A systematic review of literature was conducted using Medline (via PubMed), EMBASE, the Cochrane Library databases, and China National Knowledge Infrastructure, from their inception to February 1, 2024.\n            \n            \n              Results\n              A total of 48 studies published between 2017 and 2024 were identified and included in the systematic review, including 16 original studies (retrospective or prospective clinical studies), 28 case reports, and 4 case series, which followed patients for up to 5 years. Early postoperative complications of XEN gel stent implantation include hypotony maculopathy (1.9–4.6%), occlusion (3.9–8.8%), suprachoroidal hemorrhage (SCH), choroidal detachment (0–15%), conjunctival erosion, and exposure of the XEN gel stent (1.1–2.3%), wound and bleb leaks (2.1%) and malignant glaucoma (MG) (2.2%). Mid-postoperative complications of XEN gel stent implantation included migration of XEN (1.5%), ptosis (1.2%), endophthalmitis (0.4–3%), macular edema (1.5–4.3%), hypertrophic bleb (8.8%) and subconjunctival XEN gel stent fragmentation (reported in 2 cases). Late postoperative complications reported in cases included spontaneous dislocation and intraocular degradation.\n            \n            \n              Conclusion\n              XEN gel stent implantation is a minimally invasive glaucoma surgery (MIGS) procedure for glaucoma, known for its potential to minimize tissue damage and reduce surgical duration. However, it is crucial to note that despite these advantages, there remains a risk of severe complications, including endophthalmitis, SCH, and MG. Therefore, postoperative follow-up and early recognition of severe complications are essential for surgical management.","container-title":"Frontiers in Medicine","DOI":"10.3389/fmed.2024.1360051","ISSN":"2296-858X","journalAbbreviation":"Front. Med.","page":"1360051","source":"DOI.org (Crossref)","title":"Complications of XEN gel stent implantation for the treatment of glaucoma: a systematic review","title-short":"Complications of XEN gel stent implantation for the treatment of glaucoma","URL":"https://www.frontiersin.org/articles/10.3389/fmed.2024.1360051/full","volume":"11","author":[{"family":"Gan","given":"Lu"},{"family":"Wang","given":"Lixiang"},{"family":"Chen","given":"Jun"},{"family":"Tang","given":"Li"}],"accessed":{"date-parts":[["2025",6,30]]},"issued":{"date-parts":[["2024",5,6]]},"citation-key":"gan2024b"}},{"id":1970,"uris":["http://zotero.org/users/15573016/items/GSJQVYT7"],"itemData":{"id":1970,"type":"article-journal","container-title":"Cochrane Database of Systematic Reviews","DOI":"10.1002/14651858.CD010472.pub3","ISSN":"14651858","issue":"3","language":"en","source":"DOI.org (Crossref)","title":"Device-modified trabeculectomy for glaucoma","URL":"http://doi.wiley.com/10.1002/14651858.CD010472.pub3","volume":"2023","editor":[{"literal":"Cochrane Eyes and Vision Group"}],"author":[{"family":"Park","given":"Junghyun"},{"family":"Rittiphairoj","given":"Thanitsara"},{"family":"Wang","given":"Xue"},{"family":"E","given":"Jian-Yu"},{"family":"Bicket","given":"Amanda K"}],"accessed":{"date-parts":[["2025",7,6]]},"issued":{"date-parts":[["2023",3,13]]},"citation-key":"park2023"}},{"id":1974,"uris":["http://zotero.org/users/15573016/items/KU5EPMK7"],"itemData":{"id":1974,"type":"article-journal","abstract":"Abstract\n            \n              Purpose\n              \n                To evaluate the long‐term efficacy and safety of two minimally invasive glaucoma surgery implants with a subconjunctival drainage approach: the XEN45 Gel Stent\n                ®\n                (Xen) implant and the PRESERFLO™ MicroShunt (MicroShunt).\n              \n            \n            \n              Methods\n              Retrospective comparative case series of primary open‐angle glaucoma (POAG) patients with at least 6 months of follow‐up after a MicroShunt or Xen implantation augmented with mitomycin C.\n            \n            \n              Results\n              \n                Forty‐one eyes of 31 patients underwent Xen implantation, and 41 eyes of 33 patients, MicroShunt implantation. Baseline characteristics were similar, except for more combined surgeries with phacoemulsification in the Xen group (37% vs. 2%). Mean baseline IOP ± standard deviation dropped from 19.2 ± 4.4 to 13.8 ± 3.8 mmHg (\n                n\n                 = 26) in the Xen group and from 20.1 ± 5.0 to 12.1 ± 3.5 (\n                n\n                 = 14) in the MicroShunt group at 24 months of follow‐up (p = 0.19, t‐test). The number of IOP‐lowering medications dropped from 2.5 ± 1.4 to 0.9 ± 1.2 in the Xen group and from 2.3 ± 1.5 to 0.7 ± 1.1 in the MicroShunt group. The probability of qualified success was 73% and 79% at 24 months of follow‐up for the Xen and MicroShunt groups, respectively. Postoperative complications were usually mild and self‐limiting. The number of bleb needling and secondary glaucoma surgery procedures was similar in both groups; however, in the Xen group more additional MicroPulse\n                ®\n                transscleral cyclophotocoagulation procedures were performed.\n              \n            \n            \n              Conclusion\n              Xen Gel Stent and PreserFlo MicroShunt implantations achieved comparable results in POAG eyes in terms of IOP‐lowering and surgical success, with a similar high safety profile.","container-title":"Acta Ophthalmologica","DOI":"10.1111/aos.14602","ISSN":"1755-375X, 1755-3768","issue":"3","journalAbbreviation":"Acta Ophthalmologica","language":"en","source":"DOI.org (Crossref)","title":"XEN&lt;sup&gt;®&lt;/sup&gt; Gel Stent compared to PRESERFLO™ MicroShunt implantation for primary open‐angle glaucoma: two‐year results","title-short":"XEN&lt;sup&gt;®&lt;/sup&gt; Gel Stent compared to PRESERFLO™ MicroShunt implantation for primary open‐angle glaucoma","URL":"https://onlinelibrary.wiley.com/doi/10.1111/aos.14602","volume":"99","author":[{"family":"Scheres","given":"Lotte M.J."},{"family":"Kujovic‐Aleksov","given":"Stefani"},{"family":"Ramdas","given":"Wishal D."},{"family":"De Crom","given":"Ronald M.P.C."},{"family":"Roelofs","given":"Lianne C.G."},{"family":"Berendschot","given":"Tos T.J.M."},{"family":"Webers","given":"Carroll A.B."},{"family":"Beckers","given":"Henny J.M."}],"accessed":{"date-parts":[["2025",7,6]]},"issued":{"date-parts":[["2021",5]]},"citation-key":"scheres2021"}},{"id":1630,"uris":["http://zotero.org/users/15573016/items/GHMAGJ86"],"itemData":{"id":1630,"type":"article-journal","abstract":"Background/aims\n              To evaluate the efficacy and safety of the PreserFlo MicroShunt glaucoma device in a multicentre cohort study.\n            \n            \n              Methods\n              All consecutive patients who received the microshunt with mitomycin-C (MMC) 0.4 mg/mL from May 2019 to September 2020 in three UK tertiary centres. Primary outcome at 1 year was a complete success, with failure defined as intraocular pressure (IOP) &gt;21 mmHg or &lt;20% reduction, IOP≤5 mmHg with any decreased vision on two consecutive visits, reoperation or loss of light perception vision. Secondary outcomes were IOP, best-corrected visual acuity, medications, complications, interventions and reoperations. We also performed subgroup analyses for severe glaucoma and assessed risk factors for failure.\n            \n            \n              Results\n              104 eyes had 1-year follow-up. Complete and qualified success at 1 year were achieved in 51.9% (N=54) and 16.4% (N=17), respectively, and failure occurred in 31.7% (N=33). There was a significant reduction in IOP (mmHg) from preoperatively (23.4±0.8, N=104) to 12 months (14.7±0.6, N=104) (p&lt;0.0001). Antiglaucoma medications also decreased from preoperatively (3.4±0.1, N=104) to 12 months (0.7±0.1, N=104) (p&lt;0.0001). Multivariate analyses showed an association between higher mean deviation and failure (HR 1.055, 95% CI 1.0075 to 1.11, p=0.0227). Complications were hypotony (19.2%; N=20), choroidal detachments (10.6%; N=11), hyphaema (5.8%; N=6) and bleb leak (5.8%; N=6). Needling and 5-fluorouracil injections were performed in 12.5% (N=13) and 33.7% (N=35), respectively, and 11.5% (N=12) required revision surgery.\n            \n            \n              Conclusion\n              The PreserFlo MicroShunt with MMC 0.4 mg/mL showed an overall success rate of 68.3% at 1 year, and led to significant IOP and medication reduction with a low rate of adverse effects.","container-title":"British Journal of Ophthalmology","DOI":"10.1136/bjophthalmol-2021-320631","ISSN":"0007-1161, 1468-2079","issue":"8","journalAbbreviation":"Br J Ophthalmol","language":"en","page":"1104-1111","source":"DOI.org (Crossref)","title":"One-year surgical outcomes of the PreserFlo MicroShunt in glaucoma: a multicentre analysis","title-short":"One-year surgical outcomes of the PreserFlo MicroShunt in glaucoma","URL":"https://bjo.bmj.com/lookup/doi/10.1136/bjophthalmol-2021-320631","volume":"107","author":[{"family":"Tanner","given":"Alexander"},{"family":"Haddad","given":"Fadi"},{"family":"Fajardo-Sanchez","given":"Julia"},{"family":"Nguyen","given":"Ethan"},{"family":"Thong","given":"Kai Xin"},{"family":"Ah-Moye","given":"Sarah"},{"family":"Perl","given":"Nicole"},{"family":"Abu-Bakra","given":"Mohammed"},{"family":"Kulkarni","given":"Avinash"},{"family":"Trikha","given":"Sameer"},{"family":"Lascaratos","given":"Gerassimos"},{"family":"Parnell","given":"Miles"},{"family":"Kailani","given":"Obeda"},{"family":"King","given":"Anthony J"},{"family":"Agrawal","given":"Pavi"},{"family":"Stead","given":"Richard"},{"family":"Giannouladis","given":"Konstantinos"},{"family":"Rodrigues","given":"Ian"},{"family":"Goyal","given":"Saurabh"},{"family":"Hysi","given":"Pirro G"},{"family":"Lim","given":"Sheng"},{"family":"Yu-Wai-Man","given":"Cynthia"}],"accessed":{"date-parts":[["2025",6,30]]},"issued":{"date-parts":[["2023",8]]},"citation-key":"tanner2023"}}],"schema":"https://github.com/citation-style-language/schema/raw/master/csl-citation.json"} </w:instrText>
      </w:r>
      <w:r w:rsidR="003619AA">
        <w:fldChar w:fldCharType="separate"/>
      </w:r>
      <w:r w:rsidR="003619AA">
        <w:rPr>
          <w:noProof/>
        </w:rPr>
        <w:t>(Gan et al., 2024; Park et al., 2023; Scheres et al., 2021; Tanner et al., 2023)</w:t>
      </w:r>
      <w:r w:rsidR="003619AA">
        <w:fldChar w:fldCharType="end"/>
      </w:r>
      <w:r w:rsidR="003619AA">
        <w:t xml:space="preserve">. </w:t>
      </w:r>
      <w:r w:rsidR="001861FE">
        <w:t xml:space="preserve">Although rare, bleb leaks pose an infectious risk, and cases of blebitis or endophthalmitis (up to 3% in Xen) have been </w:t>
      </w:r>
      <w:r w:rsidR="00B32BF6">
        <w:t>documented</w:t>
      </w:r>
      <w:r w:rsidR="00662715">
        <w:t xml:space="preserve"> </w:t>
      </w:r>
      <w:r w:rsidR="00662715">
        <w:fldChar w:fldCharType="begin"/>
      </w:r>
      <w:r w:rsidR="00746A60">
        <w:instrText xml:space="preserve"> ADDIN ZOTERO_ITEM CSL_CITATION {"citationID":"8P8AlKL3","properties":{"formattedCitation":"(Gan et al., 2024)","plainCitation":"(Gan et al., 2024)","noteIndex":0},"citationItems":[{"id":1635,"uris":["http://zotero.org/users/15573016/items/Z9HG3MJP"],"itemData":{"id":1635,"type":"article-journal","abstract":"Aim\n              This study was aimed to summarize the complications and their management associated with XEN gel stent implantation.\n            \n            \n              Methods\n              A systematic review of literature was conducted using Medline (via PubMed), EMBASE, the Cochrane Library databases, and China National Knowledge Infrastructure, from their inception to February 1, 2024.\n            \n            \n              Results\n              A total of 48 studies published between 2017 and 2024 were identified and included in the systematic review, including 16 original studies (retrospective or prospective clinical studies), 28 case reports, and 4 case series, which followed patients for up to 5 years. Early postoperative complications of XEN gel stent implantation include hypotony maculopathy (1.9–4.6%), occlusion (3.9–8.8%), suprachoroidal hemorrhage (SCH), choroidal detachment (0–15%), conjunctival erosion, and exposure of the XEN gel stent (1.1–2.3%), wound and bleb leaks (2.1%) and malignant glaucoma (MG) (2.2%). Mid-postoperative complications of XEN gel stent implantation included migration of XEN (1.5%), ptosis (1.2%), endophthalmitis (0.4–3%), macular edema (1.5–4.3%), hypertrophic bleb (8.8%) and subconjunctival XEN gel stent fragmentation (reported in 2 cases). Late postoperative complications reported in cases included spontaneous dislocation and intraocular degradation.\n            \n            \n              Conclusion\n              XEN gel stent implantation is a minimally invasive glaucoma surgery (MIGS) procedure for glaucoma, known for its potential to minimize tissue damage and reduce surgical duration. However, it is crucial to note that despite these advantages, there remains a risk of severe complications, including endophthalmitis, SCH, and MG. Therefore, postoperative follow-up and early recognition of severe complications are essential for surgical management.","container-title":"Frontiers in Medicine","DOI":"10.3389/fmed.2024.1360051","ISSN":"2296-858X","journalAbbreviation":"Front. Med.","page":"1360051","source":"DOI.org (Crossref)","title":"Complications of XEN gel stent implantation for the treatment of glaucoma: a systematic review","title-short":"Complications of XEN gel stent implantation for the treatment of glaucoma","URL":"https://www.frontiersin.org/articles/10.3389/fmed.2024.1360051/full","volume":"11","author":[{"family":"Gan","given":"Lu"},{"family":"Wang","given":"Lixiang"},{"family":"Chen","given":"Jun"},{"family":"Tang","given":"Li"}],"accessed":{"date-parts":[["2025",6,30]]},"issued":{"date-parts":[["2024",5,6]]},"citation-key":"gan2024b"}}],"schema":"https://github.com/citation-style-language/schema/raw/master/csl-citation.json"} </w:instrText>
      </w:r>
      <w:r w:rsidR="00662715">
        <w:fldChar w:fldCharType="separate"/>
      </w:r>
      <w:r w:rsidR="00746A60">
        <w:rPr>
          <w:noProof/>
        </w:rPr>
        <w:t>(Gan et al., 2024)</w:t>
      </w:r>
      <w:r w:rsidR="00662715">
        <w:fldChar w:fldCharType="end"/>
      </w:r>
      <w:r w:rsidR="00746A60">
        <w:t>.</w:t>
      </w:r>
      <w:r w:rsidR="00662715">
        <w:t xml:space="preserve"> </w:t>
      </w:r>
      <w:r w:rsidR="00B32BF6">
        <w:t>In 2-5% of cases, hypotony maculopathy has</w:t>
      </w:r>
      <w:r w:rsidR="001861FE">
        <w:t xml:space="preserve"> </w:t>
      </w:r>
      <w:r w:rsidR="00B32BF6">
        <w:t>been reported. In the literature, it has been noted that this occurs more frequently</w:t>
      </w:r>
      <w:r w:rsidR="001861FE">
        <w:t xml:space="preserve"> in eyes with thin sclera or </w:t>
      </w:r>
      <w:r w:rsidR="00B32BF6">
        <w:t xml:space="preserve">after surgeries in which the postoperative period is dominated by an </w:t>
      </w:r>
      <w:r w:rsidR="001861FE">
        <w:t>excessive filtration</w:t>
      </w:r>
      <w:r w:rsidR="00B32BF6">
        <w:t xml:space="preserve"> pathway</w:t>
      </w:r>
      <w:r w:rsidR="001861FE">
        <w:t xml:space="preserve"> </w:t>
      </w:r>
      <w:r w:rsidR="00662715">
        <w:fldChar w:fldCharType="begin"/>
      </w:r>
      <w:r w:rsidR="00746A60">
        <w:instrText xml:space="preserve"> ADDIN ZOTERO_ITEM CSL_CITATION {"citationID":"ageTTY81","properties":{"formattedCitation":"(Governatori et al., 2025; Scheres et al., 2021)","plainCitation":"(Governatori et al., 2025; Scheres et al., 2021)","noteIndex":0},"citationItems":[{"id":1971,"uris":["http://zotero.org/users/15573016/items/JXIQBE9S"],"itemData":{"id":1971,"type":"article-journal","container-title":"Graefe's Archive for Clinical and Experimental Ophthalmology","DOI":"10.1007/s00417-024-06649-w","ISSN":"0721-832X, 1435-702X","issue":"4","journalAbbreviation":"Graefes Arch Clin Exp Ophthalmol","language":"en","page":"885-899","source":"DOI.org (Crossref)","title":"PreserFlo MicroShunt versus trabeculectomy: an updated meta-analysis and systematic review","title-short":"PreserFlo MicroShunt versus trabeculectomy","URL":"https://link.springer.com/10.1007/s00417-024-06649-w","volume":"263","author":[{"family":"Governatori","given":"Lorenzo"},{"family":"Oliverio","given":"Leandro"},{"family":"Mermoud","given":"André"},{"family":"Scampoli","given":"Alessandra"},{"family":"Sarati","given":"Federica"},{"family":"Carradori","given":"Andrea"},{"family":"Catalani","given":"Roberta"},{"family":"Monaco","given":"Carlo"},{"family":"Caporossi","given":"Tomaso"},{"family":"Rizzo","given":"Stanislao"}],"accessed":{"date-parts":[["2025",7,6]]},"issued":{"date-parts":[["2025",4]]},"citation-key":"governatori2025"}},{"id":1974,"uris":["http://zotero.org/users/15573016/items/KU5EPMK7"],"itemData":{"id":1974,"type":"article-journal","abstract":"Abstract\n            \n              Purpose\n              \n                To evaluate the long‐term efficacy and safety of two minimally invasive glaucoma surgery implants with a subconjunctival drainage approach: the XEN45 Gel Stent\n                ®\n                (Xen) implant and the PRESERFLO™ MicroShunt (MicroShunt).\n              \n            \n            \n              Methods\n              Retrospective comparative case series of primary open‐angle glaucoma (POAG) patients with at least 6 months of follow‐up after a MicroShunt or Xen implantation augmented with mitomycin C.\n            \n            \n              Results\n              \n                Forty‐one eyes of 31 patients underwent Xen implantation, and 41 eyes of 33 patients, MicroShunt implantation. Baseline characteristics were similar, except for more combined surgeries with phacoemulsification in the Xen group (37% vs. 2%). Mean baseline IOP ± standard deviation dropped from 19.2 ± 4.4 to 13.8 ± 3.8 mmHg (\n                n\n                 = 26) in the Xen group and from 20.1 ± 5.0 to 12.1 ± 3.5 (\n                n\n                 = 14) in the MicroShunt group at 24 months of follow‐up (p = 0.19, t‐test). The number of IOP‐lowering medications dropped from 2.5 ± 1.4 to 0.9 ± 1.2 in the Xen group and from 2.3 ± 1.5 to 0.7 ± 1.1 in the MicroShunt group. The probability of qualified success was 73% and 79% at 24 months of follow‐up for the Xen and MicroShunt groups, respectively. Postoperative complications were usually mild and self‐limiting. The number of bleb needling and secondary glaucoma surgery procedures was similar in both groups; however, in the Xen group more additional MicroPulse\n                ®\n                transscleral cyclophotocoagulation procedures were performed.\n              \n            \n            \n              Conclusion\n              Xen Gel Stent and PreserFlo MicroShunt implantations achieved comparable results in POAG eyes in terms of IOP‐lowering and surgical success, with a similar high safety profile.","container-title":"Acta Ophthalmologica","DOI":"10.1111/aos.14602","ISSN":"1755-375X, 1755-3768","issue":"3","journalAbbreviation":"Acta Ophthalmologica","language":"en","source":"DOI.org (Crossref)","title":"XEN&lt;sup&gt;®&lt;/sup&gt; Gel Stent compared to PRESERFLO™ MicroShunt implantation for primary open‐angle glaucoma: two‐year results","title-short":"XEN&lt;sup&gt;®&lt;/sup&gt; Gel Stent compared to PRESERFLO™ MicroShunt implantation for primary open‐angle glaucoma","URL":"https://onlinelibrary.wiley.com/doi/10.1111/aos.14602","volume":"99","author":[{"family":"Scheres","given":"Lotte M.J."},{"family":"Kujovic‐Aleksov","given":"Stefani"},{"family":"Ramdas","given":"Wishal D."},{"family":"De Crom","given":"Ronald M.P.C."},{"family":"Roelofs","given":"Lianne C.G."},{"family":"Berendschot","given":"Tos T.J.M."},{"family":"Webers","given":"Carroll A.B."},{"family":"Beckers","given":"Henny J.M."}],"accessed":{"date-parts":[["2025",7,6]]},"issued":{"date-parts":[["2021",5]]},"citation-key":"scheres2021"}}],"schema":"https://github.com/citation-style-language/schema/raw/master/csl-citation.json"} </w:instrText>
      </w:r>
      <w:r w:rsidR="00662715">
        <w:fldChar w:fldCharType="separate"/>
      </w:r>
      <w:r w:rsidR="00746A60">
        <w:rPr>
          <w:noProof/>
        </w:rPr>
        <w:t>(Governatori et al., 2025; Scheres et al., 2021)</w:t>
      </w:r>
      <w:r w:rsidR="00662715">
        <w:fldChar w:fldCharType="end"/>
      </w:r>
      <w:r w:rsidR="001861FE">
        <w:t>. The resulting retinal folds and choroidal thickening are reversible if treated promptly</w:t>
      </w:r>
      <w:r w:rsidR="00B32BF6">
        <w:t>. In case of persistent hypotony, irreversible</w:t>
      </w:r>
      <w:r w:rsidR="001861FE">
        <w:t xml:space="preserve"> visual changes </w:t>
      </w:r>
      <w:r w:rsidR="00B32BF6">
        <w:t>could occur</w:t>
      </w:r>
      <w:r w:rsidR="001861FE">
        <w:t>.</w:t>
      </w:r>
      <w:r w:rsidR="00B32BF6">
        <w:t xml:space="preserve"> M</w:t>
      </w:r>
      <w:r w:rsidR="001861FE">
        <w:t xml:space="preserve">alignant glaucoma (~2%) </w:t>
      </w:r>
      <w:r w:rsidR="00B32BF6">
        <w:t>is a rare complication. It is caused by overfiltration leading to</w:t>
      </w:r>
      <w:r w:rsidR="001861FE">
        <w:t xml:space="preserve"> anterior chamber shallowing </w:t>
      </w:r>
      <w:r w:rsidR="00662715">
        <w:fldChar w:fldCharType="begin"/>
      </w:r>
      <w:r w:rsidR="00746A60">
        <w:instrText xml:space="preserve"> ADDIN ZOTERO_ITEM CSL_CITATION {"citationID":"leMhvhBs","properties":{"formattedCitation":"(Gan et al., 2024)","plainCitation":"(Gan et al., 2024)","noteIndex":0},"citationItems":[{"id":1635,"uris":["http://zotero.org/users/15573016/items/Z9HG3MJP"],"itemData":{"id":1635,"type":"article-journal","abstract":"Aim\n              This study was aimed to summarize the complications and their management associated with XEN gel stent implantation.\n            \n            \n              Methods\n              A systematic review of literature was conducted using Medline (via PubMed), EMBASE, the Cochrane Library databases, and China National Knowledge Infrastructure, from their inception to February 1, 2024.\n            \n            \n              Results\n              A total of 48 studies published between 2017 and 2024 were identified and included in the systematic review, including 16 original studies (retrospective or prospective clinical studies), 28 case reports, and 4 case series, which followed patients for up to 5 years. Early postoperative complications of XEN gel stent implantation include hypotony maculopathy (1.9–4.6%), occlusion (3.9–8.8%), suprachoroidal hemorrhage (SCH), choroidal detachment (0–15%), conjunctival erosion, and exposure of the XEN gel stent (1.1–2.3%), wound and bleb leaks (2.1%) and malignant glaucoma (MG) (2.2%). Mid-postoperative complications of XEN gel stent implantation included migration of XEN (1.5%), ptosis (1.2%), endophthalmitis (0.4–3%), macular edema (1.5–4.3%), hypertrophic bleb (8.8%) and subconjunctival XEN gel stent fragmentation (reported in 2 cases). Late postoperative complications reported in cases included spontaneous dislocation and intraocular degradation.\n            \n            \n              Conclusion\n              XEN gel stent implantation is a minimally invasive glaucoma surgery (MIGS) procedure for glaucoma, known for its potential to minimize tissue damage and reduce surgical duration. However, it is crucial to note that despite these advantages, there remains a risk of severe complications, including endophthalmitis, SCH, and MG. Therefore, postoperative follow-up and early recognition of severe complications are essential for surgical management.","container-title":"Frontiers in Medicine","DOI":"10.3389/fmed.2024.1360051","ISSN":"2296-858X","journalAbbreviation":"Front. Med.","page":"1360051","source":"DOI.org (Crossref)","title":"Complications of XEN gel stent implantation for the treatment of glaucoma: a systematic review","title-short":"Complications of XEN gel stent implantation for the treatment of glaucoma","URL":"https://www.frontiersin.org/articles/10.3389/fmed.2024.1360051/full","volume":"11","author":[{"family":"Gan","given":"Lu"},{"family":"Wang","given":"Lixiang"},{"family":"Chen","given":"Jun"},{"family":"Tang","given":"Li"}],"accessed":{"date-parts":[["2025",6,30]]},"issued":{"date-parts":[["2024",5,6]]},"citation-key":"gan2024b"}}],"schema":"https://github.com/citation-style-language/schema/raw/master/csl-citation.json"} </w:instrText>
      </w:r>
      <w:r w:rsidR="00662715">
        <w:fldChar w:fldCharType="separate"/>
      </w:r>
      <w:r w:rsidR="00746A60">
        <w:rPr>
          <w:noProof/>
        </w:rPr>
        <w:t>(Gan et al., 2024)</w:t>
      </w:r>
      <w:r w:rsidR="00662715">
        <w:fldChar w:fldCharType="end"/>
      </w:r>
      <w:r w:rsidR="00746A60">
        <w:t>.</w:t>
      </w:r>
      <w:r w:rsidR="00662715">
        <w:t xml:space="preserve"> </w:t>
      </w:r>
    </w:p>
    <w:p w14:paraId="2F297435" w14:textId="77777777" w:rsidR="000954D7" w:rsidRDefault="000954D7" w:rsidP="000954D7">
      <w:pPr>
        <w:spacing w:line="360" w:lineRule="auto"/>
        <w:jc w:val="both"/>
      </w:pPr>
    </w:p>
    <w:p w14:paraId="1AFA884B" w14:textId="77777777" w:rsidR="000954D7" w:rsidRDefault="001861FE" w:rsidP="000954D7">
      <w:pPr>
        <w:spacing w:line="360" w:lineRule="auto"/>
        <w:jc w:val="both"/>
      </w:pPr>
      <w:r>
        <w:t>Late postoperative complications (&gt; 90 days) </w:t>
      </w:r>
      <w:r w:rsidR="00B32BF6">
        <w:t xml:space="preserve">are </w:t>
      </w:r>
      <w:r>
        <w:t xml:space="preserve">primarily </w:t>
      </w:r>
      <w:r w:rsidR="00B32BF6">
        <w:t>linked to</w:t>
      </w:r>
      <w:r>
        <w:t xml:space="preserve"> fibroproliferative healing</w:t>
      </w:r>
      <w:r w:rsidR="000954D7">
        <w:t>,</w:t>
      </w:r>
      <w:r>
        <w:t xml:space="preserve"> </w:t>
      </w:r>
      <w:r w:rsidR="00BF73F0">
        <w:t xml:space="preserve">influencing </w:t>
      </w:r>
      <w:r w:rsidR="00B32BF6">
        <w:t>bleb maturation</w:t>
      </w:r>
      <w:r>
        <w:t>. The most frequent</w:t>
      </w:r>
      <w:r w:rsidR="00B32BF6">
        <w:t xml:space="preserve"> late postoperative complications</w:t>
      </w:r>
      <w:r>
        <w:t xml:space="preserve"> are bleb fibrosis and encapsulation</w:t>
      </w:r>
      <w:r w:rsidR="00B32BF6">
        <w:t xml:space="preserve">. </w:t>
      </w:r>
      <w:r w:rsidR="000954D7">
        <w:t>They</w:t>
      </w:r>
      <w:r w:rsidR="00B32BF6">
        <w:t xml:space="preserve"> were reported as </w:t>
      </w:r>
      <w:r w:rsidR="000954D7">
        <w:t xml:space="preserve">the </w:t>
      </w:r>
      <w:r w:rsidR="00B32BF6">
        <w:t xml:space="preserve">incidence of </w:t>
      </w:r>
      <w:r w:rsidR="000954D7">
        <w:t>performed</w:t>
      </w:r>
      <w:r w:rsidR="00B32BF6">
        <w:t xml:space="preserve"> </w:t>
      </w:r>
      <w:r w:rsidR="00BF73F0">
        <w:t>needling</w:t>
      </w:r>
      <w:r w:rsidR="00B32BF6">
        <w:t xml:space="preserve"> or antifibrotic usage. </w:t>
      </w:r>
      <w:r>
        <w:t> </w:t>
      </w:r>
      <w:r w:rsidR="00BF73F0">
        <w:t xml:space="preserve">Needling has been reported in up to 29% and 5-fluorouracil (5-FU) injections in up to 34% of eyes </w:t>
      </w:r>
      <w:r w:rsidR="00BF73F0">
        <w:fldChar w:fldCharType="begin"/>
      </w:r>
      <w:r w:rsidR="00BF73F0">
        <w:instrText xml:space="preserve"> ADDIN ZOTERO_ITEM CSL_CITATION {"citationID":"5eoYiE9x","properties":{"formattedCitation":"(Scheres et al., 2021; Tanner et al., 2023)","plainCitation":"(Scheres et al., 2021; Tanner et al., 2023)","noteIndex":0},"citationItems":[{"id":1974,"uris":["http://zotero.org/users/15573016/items/KU5EPMK7"],"itemData":{"id":1974,"type":"article-journal","abstract":"Abstract\n            \n              Purpose\n              \n                To evaluate the long‐term efficacy and safety of two minimally invasive glaucoma surgery implants with a subconjunctival drainage approach: the XEN45 Gel Stent\n                ®\n                (Xen) implant and the PRESERFLO™ MicroShunt (MicroShunt).\n              \n            \n            \n              Methods\n              Retrospective comparative case series of primary open‐angle glaucoma (POAG) patients with at least 6 months of follow‐up after a MicroShunt or Xen implantation augmented with mitomycin C.\n            \n            \n              Results\n              \n                Forty‐one eyes of 31 patients underwent Xen implantation, and 41 eyes of 33 patients, MicroShunt implantation. Baseline characteristics were similar, except for more combined surgeries with phacoemulsification in the Xen group (37% vs. 2%). Mean baseline IOP ± standard deviation dropped from 19.2 ± 4.4 to 13.8 ± 3.8 mmHg (\n                n\n                 = 26) in the Xen group and from 20.1 ± 5.0 to 12.1 ± 3.5 (\n                n\n                 = 14) in the MicroShunt group at 24 months of follow‐up (p = 0.19, t‐test). The number of IOP‐lowering medications dropped from 2.5 ± 1.4 to 0.9 ± 1.2 in the Xen group and from 2.3 ± 1.5 to 0.7 ± 1.1 in the MicroShunt group. The probability of qualified success was 73% and 79% at 24 months of follow‐up for the Xen and MicroShunt groups, respectively. Postoperative complications were usually mild and self‐limiting. The number of bleb needling and secondary glaucoma surgery procedures was similar in both groups; however, in the Xen group more additional MicroPulse\n                ®\n                transscleral cyclophotocoagulation procedures were performed.\n              \n            \n            \n              Conclusion\n              Xen Gel Stent and PreserFlo MicroShunt implantations achieved comparable results in POAG eyes in terms of IOP‐lowering and surgical success, with a similar high safety profile.","container-title":"Acta Ophthalmologica","DOI":"10.1111/aos.14602","ISSN":"1755-375X, 1755-3768","issue":"3","journalAbbreviation":"Acta Ophthalmologica","language":"en","source":"DOI.org (Crossref)","title":"XEN&lt;sup&gt;®&lt;/sup&gt; Gel Stent compared to PRESERFLO™ MicroShunt implantation for primary open‐angle glaucoma: two‐year results","title-short":"XEN&lt;sup&gt;®&lt;/sup&gt; Gel Stent compared to PRESERFLO™ MicroShunt implantation for primary open‐angle glaucoma","URL":"https://onlinelibrary.wiley.com/doi/10.1111/aos.14602","volume":"99","author":[{"family":"Scheres","given":"Lotte M.J."},{"family":"Kujovic‐Aleksov","given":"Stefani"},{"family":"Ramdas","given":"Wishal D."},{"family":"De Crom","given":"Ronald M.P.C."},{"family":"Roelofs","given":"Lianne C.G."},{"family":"Berendschot","given":"Tos T.J.M."},{"family":"Webers","given":"Carroll A.B."},{"family":"Beckers","given":"Henny J.M."}],"accessed":{"date-parts":[["2025",7,6]]},"issued":{"date-parts":[["2021",5]]},"citation-key":"scheres2021"}},{"id":1630,"uris":["http://zotero.org/users/15573016/items/GHMAGJ86"],"itemData":{"id":1630,"type":"article-journal","abstract":"Background/aims\n              To evaluate the efficacy and safety of the PreserFlo MicroShunt glaucoma device in a multicentre cohort study.\n            \n            \n              Methods\n              All consecutive patients who received the microshunt with mitomycin-C (MMC) 0.4 mg/mL from May 2019 to September 2020 in three UK tertiary centres. Primary outcome at 1 year was a complete success, with failure defined as intraocular pressure (IOP) &gt;21 mmHg or &lt;20% reduction, IOP≤5 mmHg with any decreased vision on two consecutive visits, reoperation or loss of light perception vision. Secondary outcomes were IOP, best-corrected visual acuity, medications, complications, interventions and reoperations. We also performed subgroup analyses for severe glaucoma and assessed risk factors for failure.\n            \n            \n              Results\n              104 eyes had 1-year follow-up. Complete and qualified success at 1 year were achieved in 51.9% (N=54) and 16.4% (N=17), respectively, and failure occurred in 31.7% (N=33). There was a significant reduction in IOP (mmHg) from preoperatively (23.4±0.8, N=104) to 12 months (14.7±0.6, N=104) (p&lt;0.0001). Antiglaucoma medications also decreased from preoperatively (3.4±0.1, N=104) to 12 months (0.7±0.1, N=104) (p&lt;0.0001). Multivariate analyses showed an association between higher mean deviation and failure (HR 1.055, 95% CI 1.0075 to 1.11, p=0.0227). Complications were hypotony (19.2%; N=20), choroidal detachments (10.6%; N=11), hyphaema (5.8%; N=6) and bleb leak (5.8%; N=6). Needling and 5-fluorouracil injections were performed in 12.5% (N=13) and 33.7% (N=35), respectively, and 11.5% (N=12) required revision surgery.\n            \n            \n              Conclusion\n              The PreserFlo MicroShunt with MMC 0.4 mg/mL showed an overall success rate of 68.3% at 1 year, and led to significant IOP and medication reduction with a low rate of adverse effects.","container-title":"British Journal of Ophthalmology","DOI":"10.1136/bjophthalmol-2021-320631","ISSN":"0007-1161, 1468-2079","issue":"8","journalAbbreviation":"Br J Ophthalmol","language":"en","page":"1104-1111","source":"DOI.org (Crossref)","title":"One-year surgical outcomes of the PreserFlo MicroShunt in glaucoma: a multicentre analysis","title-short":"One-year surgical outcomes of the PreserFlo MicroShunt in glaucoma","URL":"https://bjo.bmj.com/lookup/doi/10.1136/bjophthalmol-2021-320631","volume":"107","author":[{"family":"Tanner","given":"Alexander"},{"family":"Haddad","given":"Fadi"},{"family":"Fajardo-Sanchez","given":"Julia"},{"family":"Nguyen","given":"Ethan"},{"family":"Thong","given":"Kai Xin"},{"family":"Ah-Moye","given":"Sarah"},{"family":"Perl","given":"Nicole"},{"family":"Abu-Bakra","given":"Mohammed"},{"family":"Kulkarni","given":"Avinash"},{"family":"Trikha","given":"Sameer"},{"family":"Lascaratos","given":"Gerassimos"},{"family":"Parnell","given":"Miles"},{"family":"Kailani","given":"Obeda"},{"family":"King","given":"Anthony J"},{"family":"Agrawal","given":"Pavi"},{"family":"Stead","given":"Richard"},{"family":"Giannouladis","given":"Konstantinos"},{"family":"Rodrigues","given":"Ian"},{"family":"Goyal","given":"Saurabh"},{"family":"Hysi","given":"Pirro G"},{"family":"Lim","given":"Sheng"},{"family":"Yu-Wai-Man","given":"Cynthia"}],"accessed":{"date-parts":[["2025",6,30]]},"issued":{"date-parts":[["2023",8]]},"citation-key":"tanner2023"}}],"schema":"https://github.com/citation-style-language/schema/raw/master/csl-citation.json"} </w:instrText>
      </w:r>
      <w:r w:rsidR="00BF73F0">
        <w:fldChar w:fldCharType="separate"/>
      </w:r>
      <w:r w:rsidR="00BF73F0">
        <w:rPr>
          <w:noProof/>
        </w:rPr>
        <w:t>(Scheres et al., 2021; Tanner et al., 2023)</w:t>
      </w:r>
      <w:r w:rsidR="00BF73F0">
        <w:fldChar w:fldCharType="end"/>
      </w:r>
      <w:r w:rsidR="00BF73F0">
        <w:t>. Th</w:t>
      </w:r>
      <w:r w:rsidR="000954D7">
        <w:t>e</w:t>
      </w:r>
      <w:r w:rsidR="00BF73F0">
        <w:t xml:space="preserve">se interventions try to counteract fibrosis and restore bleb permeability. </w:t>
      </w:r>
      <w:r>
        <w:t>Revision surgery </w:t>
      </w:r>
      <w:r w:rsidR="00BF73F0">
        <w:t>was reported</w:t>
      </w:r>
      <w:r>
        <w:t xml:space="preserve"> in roughly 10–12% of patients, most often within the first postoperative year. In the XEN Gel Stent, stent occlusion (4–9%) and migration (1.5%) </w:t>
      </w:r>
      <w:r w:rsidR="00422317">
        <w:t>were</w:t>
      </w:r>
      <w:r>
        <w:t xml:space="preserve"> notable late device-related </w:t>
      </w:r>
      <w:r w:rsidR="00422317">
        <w:t xml:space="preserve">complications. </w:t>
      </w:r>
      <w:r w:rsidR="000954D7">
        <w:t>They</w:t>
      </w:r>
      <w:r w:rsidR="00422317">
        <w:t xml:space="preserve"> were explained as causes of </w:t>
      </w:r>
      <w:r>
        <w:t xml:space="preserve">tissue ingrowth, inflammatory debris, or poor fixation </w:t>
      </w:r>
      <w:r w:rsidR="00746A60">
        <w:fldChar w:fldCharType="begin"/>
      </w:r>
      <w:r w:rsidR="00746A60">
        <w:instrText xml:space="preserve"> ADDIN ZOTERO_ITEM CSL_CITATION {"citationID":"uIx07tDJ","properties":{"formattedCitation":"(Gan et al., 2024)","plainCitation":"(Gan et al., 2024)","noteIndex":0},"citationItems":[{"id":1635,"uris":["http://zotero.org/users/15573016/items/Z9HG3MJP"],"itemData":{"id":1635,"type":"article-journal","abstract":"Aim\n              This study was aimed to summarize the complications and their management associated with XEN gel stent implantation.\n            \n            \n              Methods\n              A systematic review of literature was conducted using Medline (via PubMed), EMBASE, the Cochrane Library databases, and China National Knowledge Infrastructure, from their inception to February 1, 2024.\n            \n            \n              Results\n              A total of 48 studies published between 2017 and 2024 were identified and included in the systematic review, including 16 original studies (retrospective or prospective clinical studies), 28 case reports, and 4 case series, which followed patients for up to 5 years. Early postoperative complications of XEN gel stent implantation include hypotony maculopathy (1.9–4.6%), occlusion (3.9–8.8%), suprachoroidal hemorrhage (SCH), choroidal detachment (0–15%), conjunctival erosion, and exposure of the XEN gel stent (1.1–2.3%), wound and bleb leaks (2.1%) and malignant glaucoma (MG) (2.2%). Mid-postoperative complications of XEN gel stent implantation included migration of XEN (1.5%), ptosis (1.2%), endophthalmitis (0.4–3%), macular edema (1.5–4.3%), hypertrophic bleb (8.8%) and subconjunctival XEN gel stent fragmentation (reported in 2 cases). Late postoperative complications reported in cases included spontaneous dislocation and intraocular degradation.\n            \n            \n              Conclusion\n              XEN gel stent implantation is a minimally invasive glaucoma surgery (MIGS) procedure for glaucoma, known for its potential to minimize tissue damage and reduce surgical duration. However, it is crucial to note that despite these advantages, there remains a risk of severe complications, including endophthalmitis, SCH, and MG. Therefore, postoperative follow-up and early recognition of severe complications are essential for surgical management.","container-title":"Frontiers in Medicine","DOI":"10.3389/fmed.2024.1360051","ISSN":"2296-858X","journalAbbreviation":"Front. Med.","page":"1360051","source":"DOI.org (Crossref)","title":"Complications of XEN gel stent implantation for the treatment of glaucoma: a systematic review","title-short":"Complications of XEN gel stent implantation for the treatment of glaucoma","URL":"https://www.frontiersin.org/articles/10.3389/fmed.2024.1360051/full","volume":"11","author":[{"family":"Gan","given":"Lu"},{"family":"Wang","given":"Lixiang"},{"family":"Chen","given":"Jun"},{"family":"Tang","given":"Li"}],"accessed":{"date-parts":[["2025",6,30]]},"issued":{"date-parts":[["2024",5,6]]},"citation-key":"gan2024b"}}],"schema":"https://github.com/citation-style-language/schema/raw/master/csl-citation.json"} </w:instrText>
      </w:r>
      <w:r w:rsidR="00746A60">
        <w:fldChar w:fldCharType="separate"/>
      </w:r>
      <w:r w:rsidR="00746A60">
        <w:rPr>
          <w:noProof/>
        </w:rPr>
        <w:t>(Gan et al., 2024)</w:t>
      </w:r>
      <w:r w:rsidR="00746A60">
        <w:fldChar w:fldCharType="end"/>
      </w:r>
      <w:r>
        <w:t>.</w:t>
      </w:r>
      <w:r w:rsidR="00422317">
        <w:t xml:space="preserve"> In contrast</w:t>
      </w:r>
      <w:r w:rsidR="000954D7">
        <w:t>,</w:t>
      </w:r>
      <w:r>
        <w:t xml:space="preserve"> </w:t>
      </w:r>
      <w:r w:rsidR="00422317">
        <w:t>t</w:t>
      </w:r>
      <w:r>
        <w:t xml:space="preserve">he Preserflo MicroShunt </w:t>
      </w:r>
      <w:r w:rsidR="000954D7">
        <w:t xml:space="preserve">demonstrated </w:t>
      </w:r>
      <w:r>
        <w:t>fewer occlusive complications but a slightly higher tendency toward</w:t>
      </w:r>
      <w:r w:rsidR="00422317">
        <w:t>s</w:t>
      </w:r>
      <w:r>
        <w:t> low-grade chronic hypotony (≈0.4%)</w:t>
      </w:r>
      <w:r w:rsidR="00422317">
        <w:t>. This was explained by the device</w:t>
      </w:r>
      <w:r w:rsidR="000954D7">
        <w:t>’</w:t>
      </w:r>
      <w:r w:rsidR="00422317">
        <w:t>s</w:t>
      </w:r>
      <w:r>
        <w:t xml:space="preserve"> wider lumen </w:t>
      </w:r>
      <w:r w:rsidR="00662715">
        <w:fldChar w:fldCharType="begin"/>
      </w:r>
      <w:r w:rsidR="00746A60">
        <w:instrText xml:space="preserve"> ADDIN ZOTERO_ITEM CSL_CITATION {"citationID":"kZL3ki8F","properties":{"formattedCitation":"(Park et al., 2023)","plainCitation":"(Park et al., 2023)","noteIndex":0},"citationItems":[{"id":1970,"uris":["http://zotero.org/users/15573016/items/GSJQVYT7"],"itemData":{"id":1970,"type":"article-journal","container-title":"Cochrane Database of Systematic Reviews","DOI":"10.1002/14651858.CD010472.pub3","ISSN":"14651858","issue":"3","language":"en","source":"DOI.org (Crossref)","title":"Device-modified trabeculectomy for glaucoma","URL":"http://doi.wiley.com/10.1002/14651858.CD010472.pub3","volume":"2023","editor":[{"literal":"Cochrane Eyes and Vision Group"}],"author":[{"family":"Park","given":"Junghyun"},{"family":"Rittiphairoj","given":"Thanitsara"},{"family":"Wang","given":"Xue"},{"family":"E","given":"Jian-Yu"},{"family":"Bicket","given":"Amanda K"}],"accessed":{"date-parts":[["2025",7,6]]},"issued":{"date-parts":[["2023",3,13]]},"citation-key":"park2023"}}],"schema":"https://github.com/citation-style-language/schema/raw/master/csl-citation.json"} </w:instrText>
      </w:r>
      <w:r w:rsidR="00662715">
        <w:fldChar w:fldCharType="separate"/>
      </w:r>
      <w:r w:rsidR="00746A60">
        <w:rPr>
          <w:noProof/>
        </w:rPr>
        <w:t>(Park et al., 2023)</w:t>
      </w:r>
      <w:r w:rsidR="00662715">
        <w:fldChar w:fldCharType="end"/>
      </w:r>
      <w:r>
        <w:t>.</w:t>
      </w:r>
      <w:r w:rsidR="008631B5">
        <w:t xml:space="preserve"> </w:t>
      </w:r>
    </w:p>
    <w:p w14:paraId="222C4E1E" w14:textId="77777777" w:rsidR="000954D7" w:rsidRDefault="000954D7" w:rsidP="000954D7">
      <w:pPr>
        <w:spacing w:line="360" w:lineRule="auto"/>
        <w:jc w:val="both"/>
      </w:pPr>
    </w:p>
    <w:p w14:paraId="54433018" w14:textId="4C2A6A9C" w:rsidR="001E4BC8" w:rsidRPr="00F27AEB" w:rsidRDefault="00422317" w:rsidP="000954D7">
      <w:pPr>
        <w:spacing w:line="360" w:lineRule="auto"/>
        <w:jc w:val="both"/>
      </w:pPr>
      <w:r>
        <w:lastRenderedPageBreak/>
        <w:t xml:space="preserve">A complication similar to penetrating surgeries is </w:t>
      </w:r>
      <w:r w:rsidR="001861FE">
        <w:t>Cataract progression</w:t>
      </w:r>
      <w:r>
        <w:t xml:space="preserve">. It was </w:t>
      </w:r>
      <w:r w:rsidR="001861FE">
        <w:t xml:space="preserve">reported </w:t>
      </w:r>
      <w:r>
        <w:t>in</w:t>
      </w:r>
      <w:r w:rsidR="001861FE">
        <w:t xml:space="preserve"> 3–17% </w:t>
      </w:r>
      <w:r>
        <w:t xml:space="preserve">after </w:t>
      </w:r>
      <w:r w:rsidR="001861FE">
        <w:t xml:space="preserve">Preserflo and 7% </w:t>
      </w:r>
      <w:r>
        <w:t>after</w:t>
      </w:r>
      <w:r w:rsidR="001861FE">
        <w:t xml:space="preserve"> XEN</w:t>
      </w:r>
      <w:r>
        <w:t xml:space="preserve"> Gel stent implantation. Cataract progression is assumed to be driven by</w:t>
      </w:r>
      <w:r w:rsidR="001861FE">
        <w:t xml:space="preserve"> </w:t>
      </w:r>
      <w:r>
        <w:t xml:space="preserve">a </w:t>
      </w:r>
      <w:r w:rsidR="001861FE">
        <w:t>chronic low-grade inflammation</w:t>
      </w:r>
      <w:r>
        <w:t xml:space="preserve">. </w:t>
      </w:r>
      <w:r w:rsidR="001861FE">
        <w:t xml:space="preserve"> </w:t>
      </w:r>
      <w:r>
        <w:t xml:space="preserve">Additionally, </w:t>
      </w:r>
      <w:r w:rsidR="001861FE">
        <w:t xml:space="preserve">corticosteroid exposure </w:t>
      </w:r>
      <w:r>
        <w:t xml:space="preserve">was reported as an influencing factor </w:t>
      </w:r>
      <w:r w:rsidR="001861FE">
        <w:t xml:space="preserve">rather than mechanical </w:t>
      </w:r>
      <w:r>
        <w:t>stress caused by the implant itself</w:t>
      </w:r>
      <w:r w:rsidR="001861FE">
        <w:t xml:space="preserve"> </w:t>
      </w:r>
      <w:r w:rsidR="00662715">
        <w:fldChar w:fldCharType="begin"/>
      </w:r>
      <w:r w:rsidR="00746A60">
        <w:instrText xml:space="preserve"> ADDIN ZOTERO_ITEM CSL_CITATION {"citationID":"VnebvETi","properties":{"formattedCitation":"(Mieno et al., 2025)","plainCitation":"(Mieno et al., 2025)","noteIndex":0},"citationItems":[{"id":1627,"uris":["http://zotero.org/users/15573016/items/HAWPC9HP"],"itemData":{"id":1627,"type":"article-journal","container-title":"Scientific Reports","DOI":"10.1038/s41598-025-92879-9","ISSN":"2045-2322","issue":"1","journalAbbreviation":"Sci Rep","language":"en","page":"8344","source":"DOI.org (Crossref)","title":"Risk factors and protective strategies for hypotony following preserflo microshunt implantation","URL":"https://www.nature.com/articles/s41598-025-92879-9","volume":"15","author":[{"family":"Mieno","given":"Hiroki"},{"family":"Mori","given":"Kazuhiko"},{"family":"Yoshii","given":"Kengo"},{"family":"Okada","given":"Yo"},{"family":"Ikeda","given":"Yoko"},{"family":"Ueno","given":"Morio"},{"family":"Sotozono","given":"Chie"}],"accessed":{"date-parts":[["2025",6,30]]},"issued":{"date-parts":[["2025",3,11]]},"citation-key":"mieno2025a"}}],"schema":"https://github.com/citation-style-language/schema/raw/master/csl-citation.json"} </w:instrText>
      </w:r>
      <w:r w:rsidR="00662715">
        <w:fldChar w:fldCharType="separate"/>
      </w:r>
      <w:r w:rsidR="00746A60">
        <w:rPr>
          <w:noProof/>
        </w:rPr>
        <w:t>(Mieno et al., 2025)</w:t>
      </w:r>
      <w:r w:rsidR="00662715">
        <w:fldChar w:fldCharType="end"/>
      </w:r>
      <w:r w:rsidR="001861FE">
        <w:t>. Vision-threatening complications, including persistent hypotony with maculopathy, remain rare (&lt;5%)</w:t>
      </w:r>
      <w:r>
        <w:t>.</w:t>
      </w:r>
      <w:r w:rsidR="008C5405">
        <w:t xml:space="preserve"> </w:t>
      </w:r>
      <w:r w:rsidR="001861FE">
        <w:t xml:space="preserve">From a clinical perspective, the severity of MIFS complications is moderate but manageable. Early issues such as hypotony and effusion are transient, </w:t>
      </w:r>
      <w:r w:rsidR="000A2C47">
        <w:t>whereas</w:t>
      </w:r>
      <w:r w:rsidR="001861FE">
        <w:t xml:space="preserve"> late </w:t>
      </w:r>
      <w:r w:rsidR="000A2C47">
        <w:t>complications</w:t>
      </w:r>
      <w:r w:rsidR="001861FE">
        <w:t xml:space="preserve"> (fibrosis, occlusion) often necessitate minor interventions. Compared to trabeculectomy and tube shunts, both the Preserflo and XEN achieve a favorable safety-to-efficacy </w:t>
      </w:r>
      <w:r w:rsidR="000A2C47">
        <w:t>ratio</w:t>
      </w:r>
      <w:r w:rsidR="000954D7">
        <w:t>, m</w:t>
      </w:r>
      <w:r w:rsidR="000A2C47">
        <w:t xml:space="preserve">aking </w:t>
      </w:r>
      <w:r w:rsidR="000954D7">
        <w:t>them</w:t>
      </w:r>
      <w:r w:rsidR="000A2C47">
        <w:t xml:space="preserve"> safer alternative</w:t>
      </w:r>
      <w:r w:rsidR="000954D7">
        <w:t>s</w:t>
      </w:r>
      <w:r w:rsidR="000A2C47">
        <w:t xml:space="preserve"> to traditional filtering surgeries.</w:t>
      </w:r>
    </w:p>
    <w:p w14:paraId="0824167C" w14:textId="77777777" w:rsidR="006E004F" w:rsidRPr="006E004F" w:rsidRDefault="006E004F" w:rsidP="003A0B82">
      <w:pPr>
        <w:spacing w:line="360" w:lineRule="auto"/>
      </w:pPr>
    </w:p>
    <w:p w14:paraId="6A9F1BBA" w14:textId="7C7BA0EB" w:rsidR="00286F62" w:rsidRDefault="00850DAD" w:rsidP="003A0B82">
      <w:pPr>
        <w:pStyle w:val="Heading2"/>
      </w:pPr>
      <w:bookmarkStart w:id="35" w:name="_Toc213182581"/>
      <w:r w:rsidRPr="00850DAD">
        <w:t>Cyclodestructive Procedures</w:t>
      </w:r>
      <w:bookmarkEnd w:id="35"/>
    </w:p>
    <w:p w14:paraId="260FC637" w14:textId="57DEB9B9" w:rsidR="00506F66" w:rsidRDefault="00286F62" w:rsidP="003A0B82">
      <w:pPr>
        <w:spacing w:line="360" w:lineRule="auto"/>
        <w:jc w:val="both"/>
      </w:pPr>
      <w:r>
        <w:t xml:space="preserve">The final surgical category in this review </w:t>
      </w:r>
      <w:r w:rsidR="000954D7">
        <w:t>is</w:t>
      </w:r>
      <w:r>
        <w:t xml:space="preserve"> cyclodestructive procedures. Th</w:t>
      </w:r>
      <w:r w:rsidR="000954D7">
        <w:t>e</w:t>
      </w:r>
      <w:r>
        <w:t xml:space="preserve">se procedures target the ciliary epithelium, which produces aqueous humour. </w:t>
      </w:r>
      <w:r w:rsidR="000954D7">
        <w:t>Because</w:t>
      </w:r>
      <w:r>
        <w:t xml:space="preserve"> </w:t>
      </w:r>
      <w:r w:rsidR="000954D7">
        <w:t>epithelial</w:t>
      </w:r>
      <w:r>
        <w:t xml:space="preserve"> destruction is irreversible, cyclodestructive modalities are often considered last-line therapy for advanced or uncontrolled POAG </w:t>
      </w:r>
      <w:r w:rsidR="00B823B8">
        <w:fldChar w:fldCharType="begin"/>
      </w:r>
      <w:r w:rsidR="00B823B8">
        <w:instrText xml:space="preserve"> ADDIN ZOTERO_ITEM CSL_CITATION {"citationID":"YZbj8uvt","properties":{"formattedCitation":"(Gedde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rsidR="00B823B8">
        <w:fldChar w:fldCharType="separate"/>
      </w:r>
      <w:r w:rsidR="00B823B8">
        <w:rPr>
          <w:noProof/>
        </w:rPr>
        <w:t>(Gedde et al., 2021b)</w:t>
      </w:r>
      <w:r w:rsidR="00B823B8">
        <w:fldChar w:fldCharType="end"/>
      </w:r>
      <w:r w:rsidR="00B823B8">
        <w:t>.</w:t>
      </w:r>
      <w:r>
        <w:t xml:space="preserve"> Two representative procedures for this modality included in this review are </w:t>
      </w:r>
      <w:r w:rsidRPr="00492CDC">
        <w:t xml:space="preserve">Transscleral </w:t>
      </w:r>
      <w:r w:rsidR="000954D7">
        <w:t>C</w:t>
      </w:r>
      <w:r w:rsidRPr="00492CDC">
        <w:t>yclophotocoagulation (TS-CPC)</w:t>
      </w:r>
      <w:r>
        <w:t xml:space="preserve"> and </w:t>
      </w:r>
      <w:r w:rsidR="000954D7">
        <w:t>M</w:t>
      </w:r>
      <w:r w:rsidRPr="00492CDC">
        <w:t xml:space="preserve">icropulse </w:t>
      </w:r>
      <w:r w:rsidR="000954D7">
        <w:t>T</w:t>
      </w:r>
      <w:r>
        <w:t>ransscleral</w:t>
      </w:r>
      <w:r w:rsidR="000954D7">
        <w:t xml:space="preserve"> C</w:t>
      </w:r>
      <w:r w:rsidRPr="00492CDC">
        <w:t>yclophotocoagulation (MP-</w:t>
      </w:r>
      <w:r>
        <w:t>TS</w:t>
      </w:r>
      <w:r w:rsidRPr="00492CDC">
        <w:t>CPC)</w:t>
      </w:r>
      <w:r>
        <w:t xml:space="preserve">. Both </w:t>
      </w:r>
      <w:r w:rsidR="00506F66">
        <w:t>share the same basic principle but differ in the way laser energy is delivered.</w:t>
      </w:r>
      <w:r>
        <w:t xml:space="preserve"> </w:t>
      </w:r>
      <w:r w:rsidRPr="00492CDC">
        <w:t>TS-CPC</w:t>
      </w:r>
      <w:r>
        <w:t xml:space="preserve"> uses </w:t>
      </w:r>
      <w:r w:rsidRPr="00492CDC">
        <w:t>a continuous-wave 810 nm diode laser</w:t>
      </w:r>
      <w:r>
        <w:t xml:space="preserve">. </w:t>
      </w:r>
      <w:r w:rsidR="00506F66">
        <w:t>L</w:t>
      </w:r>
      <w:r>
        <w:t>aser thermal energy is used to ablate the ciliary epithelium through the sclera withou</w:t>
      </w:r>
      <w:r w:rsidR="00506F66">
        <w:t>t</w:t>
      </w:r>
      <w:r>
        <w:t xml:space="preserve"> direct visu</w:t>
      </w:r>
      <w:r w:rsidR="00506F66">
        <w:t>al</w:t>
      </w:r>
      <w:r>
        <w:t xml:space="preserve">ization. This is described </w:t>
      </w:r>
      <w:r w:rsidR="00506F66">
        <w:t>as</w:t>
      </w:r>
      <w:r>
        <w:t xml:space="preserve"> </w:t>
      </w:r>
      <w:r w:rsidR="00506F66">
        <w:t>causing</w:t>
      </w:r>
      <w:r>
        <w:t xml:space="preserve"> </w:t>
      </w:r>
      <w:r w:rsidR="00506F66">
        <w:t>broader</w:t>
      </w:r>
      <w:r>
        <w:t xml:space="preserve"> tissue ablation</w:t>
      </w:r>
      <w:r w:rsidR="00506F66">
        <w:t>,</w:t>
      </w:r>
      <w:r>
        <w:t xml:space="preserve"> with </w:t>
      </w:r>
      <w:r w:rsidR="00506F66">
        <w:t xml:space="preserve">the potential for </w:t>
      </w:r>
      <w:r>
        <w:t xml:space="preserve">collateral tissue damage and alteration. </w:t>
      </w:r>
      <w:r w:rsidR="00B823B8">
        <w:fldChar w:fldCharType="begin"/>
      </w:r>
      <w:r w:rsidR="00B823B8">
        <w:instrText xml:space="preserve"> ADDIN ZOTERO_ITEM CSL_CITATION {"citationID":"LZIY708W","properties":{"formattedCitation":"(Chavez et al., 2025, p. 25)","plainCitation":"(Chavez et al., 2025, p. 25)","noteIndex":0},"citationItems":[{"id":1590,"uris":["http://zotero.org/users/15573016/items/G59QEH4R"],"itemData":{"id":1590,"type":"article-journal","abstract":"Précis:\n              Micropulse transscleral laser treatment (MP-TLT) and continuous wave transscleral cyclophotocoagulation demonstrated comparable intraocular pressure across all follow-ups. MP-TLT was associated with significantly lower risks of ocular complications such as hypotony, prolonged inflammation, and phthisis bulbi.\n            \n            \n              Purpose:\n              To compare the efficacy and safety of micropulse transscleral laser treatment (MP-TLT) and continuous wave transscleral cyclophotocoagulation (CW-TSCPC) for the treatment of glaucoma or ocular hypertension.\n            \n            \n              Methods:\n              \n                A systematic search was conducted in PubMed, Cochrane Library, Embase, and ClinicalTrials.gov. Randomized controlled trials (RCTs) or cohort studies comparing MP-TLT and CW-TSCPC were included. Weighted mean differences (MDs) were computed for continuous endpoints and risk ratios (RRs) for binary endpoints, with 95% confidence intervals (CIs). Heterogeneity was assessed with I\n                2\n                statistics. Software R, version 4.4.0, was used for statistical analyses. Subgroup analyses were conducted on glaucoma types.\n              \n            \n            \n              Results:\n              Eleven studies encompassing 1,054 eyes from 986 patients were included, with 47.4% receiving MP-TLT. There were no significant differences in IOP between CW-TSCPC and MP-TLT at one week, one month, three months, six months, 12 months, and 18 months of follow-up. The MP-TLT group required a significantly higher number of hypotensive medications but displayed significantly reduced risks of overall complications, ocular hypotony, prolonged inflammation, and phthisis bulbi compared to CW-TSCPC.\n            \n            \n              Conclusion:\n              MP-TLT and CW-TSCPC showed similar efficacy in IOP control. However, MP-TLT demonstrated a greater safety profile, suggesting its potential suitability for patients requiring repeat interventions or those with lower tolerance for ocular complications.","container-title":"Journal of Glaucoma","DOI":"10.1097/IJG.0000000000002583","ISSN":"1057-0829, 1536-481X","language":"en","source":"DOI.org (Crossref)","title":"Micropulse Transscleral Laser Treatment vs. Continuous Wave Transscleral Cyclophotocoagulation for the Treatment of Glaucoma or Ocular Hypertension: A Meta-Analysis","title-short":"Micropulse Transscleral Laser Treatment vs. Continuous Wave Transscleral Cyclophotocoagulation for the Treatment of Glaucoma or Ocular Hypertension","URL":"https://journals.lww.com/10.1097/IJG.0000000000002583","author":[{"family":"Chavez","given":"Matheus Pedrotti"},{"family":"Guedes","given":"Guilherme Barroso"},{"family":"Pasqualotto","given":"Eric"},{"family":"De Almeida","given":"Izabela Negrão Frota"},{"family":"Lopes","given":"Lucca Moreira"},{"family":"Prata","given":"Tiago Santos"},{"family":"De Souza","given":"Tiago Tomaz"}],"accessed":{"date-parts":[["2025",6,30]]},"issued":{"date-parts":[["2025",4,29]]},"citation-key":"chavez2025"},"locator":"25"}],"schema":"https://github.com/citation-style-language/schema/raw/master/csl-citation.json"} </w:instrText>
      </w:r>
      <w:r w:rsidR="00B823B8">
        <w:fldChar w:fldCharType="separate"/>
      </w:r>
      <w:r w:rsidR="00B823B8">
        <w:rPr>
          <w:noProof/>
        </w:rPr>
        <w:t>(Chavez et al., 2025, p. 25)</w:t>
      </w:r>
      <w:r w:rsidR="00B823B8">
        <w:fldChar w:fldCharType="end"/>
      </w:r>
      <w:r w:rsidR="00492CDC" w:rsidRPr="00492CDC">
        <w:t>.</w:t>
      </w:r>
      <w:r w:rsidR="00535CB1">
        <w:t xml:space="preserve"> </w:t>
      </w:r>
      <w:r w:rsidR="00492CDC" w:rsidRPr="00492CDC">
        <w:t>MP-</w:t>
      </w:r>
      <w:r w:rsidR="00535CB1">
        <w:t>TS</w:t>
      </w:r>
      <w:r w:rsidR="00492CDC" w:rsidRPr="00492CDC">
        <w:t>CPC</w:t>
      </w:r>
      <w:r w:rsidR="00506F66">
        <w:t xml:space="preserve"> uses the same approach but modulates the laser beam intensity, using </w:t>
      </w:r>
      <w:r w:rsidR="00506F66" w:rsidRPr="00492CDC">
        <w:t>low-energy, repetitive laser pulses separated by rest periods</w:t>
      </w:r>
      <w:r w:rsidR="00506F66">
        <w:t xml:space="preserve">. This causes less thermal damage and minimizes the collateral tissue damage </w:t>
      </w:r>
      <w:r w:rsidR="00B823B8">
        <w:fldChar w:fldCharType="begin"/>
      </w:r>
      <w:r w:rsidR="00B823B8">
        <w:instrText xml:space="preserve"> ADDIN ZOTERO_ITEM CSL_CITATION {"citationID":"AvPkNcdq","properties":{"formattedCitation":"(Aquino et al., 2015)","plainCitation":"(Aquino et al., 2015)","noteIndex":0},"citationItems":[{"id":1593,"uris":["http://zotero.org/users/15573016/items/7VT29JDN"],"itemData":{"id":1593,"type":"article-journal","abstract":"Abstract\n            \n              Background\n              The aim of this study was to compare the efficacy and safety of micropulse and continuous wave diode transscleral cyclophotocoagulation in refractory glaucoma.\n            \n            \n              Design\n              Randomized, comparative, exploratory study in a tertiary hospital setting.\n            \n            \n              Participants\n              Patients with refractory, end‐stage glaucoma.\n            \n            \n              Methods\n              Forty‐eight patients were randomized to either treatment. The intraocular pressure, visual acuity, number of medicines and repeat treatment were monitored for 18 months. Complications that include visual acuity decline, prolonged anterior chamber inflammation, phthisis bulbi, scleral thinning and ocular pain were noted.\n            \n            \n              Main Outcome Measure\n              Intraocular pressure between 6 and 21 mmHg and at least a 30% reduction with or without anti‐glaucoma medications after 18 months.\n            \n            \n              Results\n              \n                A successful primary outcome was achieved in 75% of patients who underwent micropulse cyclophotocoagulation and 29% of patients who received continuous wave cyclophotocoagulation after 12 months (\n                P\n                 &lt; 0.01). At 18 months, successful outcome was 52% and 30% (\n                P\n                 = 0.13), respectively. The mean intraocular pressure was reduced by 45% in both groups (\n                P\n                 = 0.70) from a baseline of 36.5 mmHg and 35.0 mmHg (\n                P\n                 = 0.50) after 17.5 ± 1.6 months (range 16–19) follow up. No significant difference in retreatment rates or number of intraocular pressure lowering medications was noted. The ocular complication rate was higher in continuous wave treated eyes (\n                P\n                 = 0.01).\n              \n            \n            \n              Conclusion\n              Diode transscleral cyclophotocoagulation in both micropulse and continuous modes was effective in lowering intraocular pressure. The micropulse mode provided a more consistent and predictable effect in lowering intraocular pressure with minimal ocular complications.","container-title":"Clinical &amp; Experimental Ophthalmology","DOI":"10.1111/ceo.12360","ISSN":"1442-6404, 1442-9071","issue":"1","journalAbbreviation":"Clinical Exper Ophthalmology","language":"en","page":"40-46","source":"DOI.org (Crossref)","title":"Micropulse versus continuous wave transscleral diode cyclophotocoagulation in refractory glaucoma: a randomized exploratory study","title-short":"Micropulse versus continuous wave transscleral diode cyclophotocoagulation in refractory glaucoma","URL":"https://onlinelibrary.wiley.com/doi/10.1111/ceo.12360","volume":"43","author":[{"family":"Aquino","given":"Maria Cecilia D"},{"family":"Barton","given":"Keith"},{"family":"Tan","given":"Anna Marie Wt"},{"family":"Sng","given":"Chelvin"},{"family":"Li","given":"Xiang"},{"family":"Loon","given":"Seng Chee"},{"family":"Chew","given":"Paul Tk"}],"accessed":{"date-parts":[["2025",6,30]]},"issued":{"date-parts":[["2015",1]]},"citation-key":"aquino2015"}}],"schema":"https://github.com/citation-style-language/schema/raw/master/csl-citation.json"} </w:instrText>
      </w:r>
      <w:r w:rsidR="00B823B8">
        <w:fldChar w:fldCharType="separate"/>
      </w:r>
      <w:r w:rsidR="00B823B8">
        <w:rPr>
          <w:noProof/>
        </w:rPr>
        <w:t>(Aquino et al., 2015)</w:t>
      </w:r>
      <w:r w:rsidR="00B823B8">
        <w:fldChar w:fldCharType="end"/>
      </w:r>
      <w:r w:rsidR="00492CDC" w:rsidRPr="00492CDC">
        <w:t>.</w:t>
      </w:r>
      <w:r w:rsidR="00535CB1">
        <w:t xml:space="preserve"> </w:t>
      </w:r>
    </w:p>
    <w:p w14:paraId="753A0D27" w14:textId="77777777" w:rsidR="000954D7" w:rsidRDefault="000954D7" w:rsidP="003A0B82">
      <w:pPr>
        <w:spacing w:line="360" w:lineRule="auto"/>
        <w:jc w:val="both"/>
      </w:pPr>
    </w:p>
    <w:p w14:paraId="7AFE8ECD" w14:textId="1687DD1B" w:rsidR="00492CDC" w:rsidRPr="00506F66" w:rsidRDefault="00492CDC" w:rsidP="003A0B82">
      <w:pPr>
        <w:spacing w:line="360" w:lineRule="auto"/>
        <w:jc w:val="both"/>
      </w:pPr>
      <w:r w:rsidRPr="00492CDC">
        <w:t xml:space="preserve">Kelada et al. (2024) reported that TS-CPC reduced IOP by up to 45% from baseline at 24 months postoperatively </w:t>
      </w:r>
      <w:r w:rsidR="00B823B8">
        <w:fldChar w:fldCharType="begin"/>
      </w:r>
      <w:r w:rsidR="00B823B8">
        <w:instrText xml:space="preserve"> ADDIN ZOTERO_ITEM CSL_CITATION {"citationID":"WbRtsEpS","properties":{"formattedCitation":"(Kelada et al., 2024)","plainCitation":"(Kelada et al., 2024)","noteIndex":0},"citationItems":[{"id":1594,"uris":["http://zotero.org/users/15573016/items/BJF4GG5U"],"itemData":{"id":1594,"type":"article-journal","abstract":"Abstract\n            \n              Background\n              \n                Continuous-wave transscleral cyclophotocoagulation (CW-TSCP) is usually reserved for advanced/refractory glaucoma. Micropulse transscleral laser therapy (MPTLT) utilises short energy pulses separated by ‘\n                off\n                ’-periods. MPTLT is postulated to have fewer complications, but its relative efficacy is not known. The National Institute for Health and Care Excellence (NICE) has deemed the evidence supporting MPTLT use of inadequate quality, limiting its use to research. This study aims to evaluate MPTLT efficacy and safety compared to CW-TSCP.\n              \n            \n            \n              Methods\n              This 24-month follow-up retrospective audit included 85 CW-TSCP and 173 MPTLT eyes at a London tertiary referral centre. Primary outcome was success rate at the last follow-up; defined as at least 20% intraocular pressure (IOP) reduction with the same/fewer medications, and IOP between 6 and 18 mmHg. Secondary outcomes were acetazolamide use and success rates per glaucoma type. Safety outcomes were reported as complication rates.\n            \n            \n              Results\n              \n                By 24-months, mean IOP reduced from 34.6[±1.4]mmHg to 19.0[ ± 3.0]mmHg post-CW-TSCP (\n                p\n                 &lt; 0.0001); and from 26.1[±0.8]mmHg to 19.1[±2.2]mmHg post-MPTLT (\n                p\n                 &lt; 0.0001). Average IOP decreased by 45.1% post-CW-TSCP, and 26.8% post-MPTLT. Both interventions reduced medication requirements (\n                p\n                 ≤ 0.05). More CW-TSCP patients discontinued acetazolamide (\n                p\n                 = 0.047). Overall success rate was 26.6% for CW-TSCP and 30.6% for MPTLT (\n                p\n                 = 0.83). Only primary closed-angle glaucoma saw a significantly higher success rate following CW-TSCP (\n                p\n                 = 0.014). CW-TSCP complication rate was significantly higher than MPTLT (\n                p\n                 = 0.0048).\n              \n            \n            \n              Conclusion\n              Both treatments significantly reduced IOP and medication load. CW-TSCP had a greater absolute/proportionate IOP-lowering effect, but it carried a significantly greater risk of sight-threatening complications. Further prospective studies are required to evaluate MPTLT compared to CW-TSCP.","container-title":"Eye","DOI":"10.1038/s41433-024-02929-1","ISSN":"0950-222X, 1476-5454","issue":"8","journalAbbreviation":"Eye","language":"en","page":"1477-1484","source":"DOI.org (Crossref)","title":"Cyclodiode vs micropulse transscleral laser treatment","URL":"https://www.nature.com/articles/s41433-024-02929-1","volume":"38","author":[{"family":"Kelada","given":"Monica"},{"family":"Normando","given":"Eduardo M."},{"family":"Cordeiro","given":"Francesca M."},{"family":"Crawley","given":"Laura"},{"family":"Ahmed","given":"Faisal"},{"family":"Ameen","given":"Sally"},{"family":"Vig","given":"Niten"},{"family":"Bloom","given":"Philip"}],"accessed":{"date-parts":[["2025",6,30]]},"issued":{"date-parts":[["2024",6]]},"citation-key":"kelada2024"}}],"schema":"https://github.com/citation-style-language/schema/raw/master/csl-citation.json"} </w:instrText>
      </w:r>
      <w:r w:rsidR="00B823B8">
        <w:fldChar w:fldCharType="separate"/>
      </w:r>
      <w:r w:rsidR="00B823B8">
        <w:rPr>
          <w:noProof/>
        </w:rPr>
        <w:t>(Kelada et al., 2024)</w:t>
      </w:r>
      <w:r w:rsidR="00B823B8">
        <w:fldChar w:fldCharType="end"/>
      </w:r>
      <w:r w:rsidRPr="00492CDC">
        <w:t>. Similarly, several studies have shown relative IOP reductions between 30–45% from baseline following ECP and MP-CPC during 12–24 months of follow-up</w:t>
      </w:r>
      <w:r w:rsidR="00B823B8">
        <w:t xml:space="preserve"> </w:t>
      </w:r>
      <w:r w:rsidR="00B823B8">
        <w:fldChar w:fldCharType="begin"/>
      </w:r>
      <w:r w:rsidR="00B823B8">
        <w:instrText xml:space="preserve"> ADDIN ZOTERO_ITEM CSL_CITATION {"citationID":"dO5F3wFR","properties":{"formattedCitation":"(Elhusseiny et al., 2024; Preda et al., 2020; Zaarour et al., 2019)","plainCitation":"(Elhusseiny et al., 2024; Preda et al., 2020; Zaarour et al., 2019)","noteIndex":0},"citationItems":[{"id":1598,"uris":["http://zotero.org/users/15573016/items/K5ZSJWT7"],"itemData":{"id":1598,"type":"article-journal","abstract":"Précis:\n              Transscleral cyclophotocoagulation (TS-CPC) and endoscopic cyclophotocoagulation (ECP) were effective in reducing intraocular pressure (IOP) and glaucoma medications in childhood glaucoma.\n            \n            \n              Objective:\n              To report the outcomes of continuous wave TS-CPC and ECP in childhood glaucoma.\n            \n            \n              Materials and Methods:\n              We performed a systematic search of relevant databases. We collected data on age, follow-up duration, type of glaucoma, previous surgical interventions, preoperative and postoperative IOP, preoperative and postoperative number of glaucoma medications, adverse events, number of sessions, and success rates at different time points. The main outcome measures are the amount of IOP and glaucoma medication reduction.\n            \n            \n              Results:\n              \n                We included 17 studies studying 526 patients (658 eyes); 11 evaluated the effectiveness of TS-CPC (268 patients, 337 eyes), 5 evaluated ECP (159 patients, 197 eyes), and one study compared both techniques (56 patients, 72 eyes for TS-CPC vs 43 patients, 52 eyes for ECP). The median duration of follow-up was 28 months in the TS-CPC group and 34.4 months in the ECP group. The mean number of treatment sessions was 1.7 in the TS-CPC and 1.3 in the ECP. In the TS-CPC group, the mean IOP was significantly reduced from 31.2 ± 8 to 20.8 ± 8 mm Hg at the last follow-up (\n                P\n                &lt; 0.001). The mean number of glaucoma medications was reduced from 2.3 ± 1.3 to 2.2 ± 1.3 (\n                P\n                = 0.37). In the ECP group, there was also a significant reduction in the mean IOP from 32.9 ± 8 mm Hg with a mean of 1.7 ± 0.7 glaucoma medications to 22.6 ± 9.8 mm Hg (\n                P\n                &lt; 0.0001) on 1.2 ± 1.1 medications (\n                P\n                = 0.009) at the last follow-up.\n              \n            \n            \n              Conclusion:\n              Both TS-CPC and ECP were effective in reducing the IOP and glaucoma medications in childhood glaucoma. Multiple treatment sessions were required.","container-title":"Journal of Glaucoma","DOI":"10.1097/IJG.0000000000002365","ISSN":"1057-0829","issue":"6","language":"en","page":"456-463","source":"DOI.org (Crossref)","title":"Continuous Wave Transscleral Cyclophotocoagulation and Endoscopic Cyclophotocoagulation in Childhood Glaucoma: A Meta-Analysis","title-short":"Continuous Wave Transscleral Cyclophotocoagulation and Endoscopic Cyclophotocoagulation in Childhood Glaucoma","URL":"https://journals.lww.com/10.1097/IJG.0000000000002365","volume":"33","author":[{"family":"Elhusseiny","given":"Abdelrahman M."},{"family":"Hassan","given":"Amr K."},{"family":"Elsaman","given":"Ahmed S."},{"family":"Azhari","given":"Jamal O."},{"family":"VanderVeen","given":"Deborah K."},{"family":"Abdelnaem","given":"Salah"},{"family":"Pakravan","given":"Mohammad"},{"family":"Chang","given":"Ta C."},{"family":"Khodeiry","given":"Mohamed M."},{"family":"Khouri","given":"Albert S."},{"family":"Sayed","given":"Mohamed S."},{"family":"Lee","given":"Richard K."},{"family":"Sallam","given":"Ahmed B."}],"accessed":{"date-parts":[["2025",6,30]]},"issued":{"date-parts":[["2024",6]]},"citation-key":"elhusseiny2024"}},{"id":1346,"uris":["http://zotero.org/users/15573016/items/V44IUTGZ"],"itemData":{"id":1346,"type":"article-journal","abstract":"The aim of this study is to evaluate the clinical outcomes of micropulse transscleral cyclophotocoagulation (mTSCPC) in cases of refractory glaucoma. Patients with refractory glaucoma were selected to undergo mTSCPC, using the MP3 handpiece from Iridex Laser Systems. Follow-up examinations occurred on a regular basis for 18 months after the procedure. One hundred eyes of 97 patients were treated. Mean pre-laser intraocular pressure (IOP) was 39.14 ± 13.84 mmHg. This was reduced significantly to 22.77.8 ± 10.48 mmHg (41.82% reduction; p &lt; 0.001) at week 1. At months 1, 3, 6, 12, and 18 the IOP mean was 23.81 ± 9.44, 24.27 ± 9.17, 23.09 ± 8.47, 22.76 ± 8.14, and 22.77 ± 8.13 mmHg. The success rate at 18 months was the highest 90.91% for the group with IOP below 26 mmHg and the lowest 70.00% for the IOP group 26-30 mmHg. The mean number of anti-glaucoma drops decreased from 2.63 ± 0.87 to 1.78 ± 0.95. The number of treatments performed was 1.26. The pain felt during the procedure was reported as being moderate. No major postoperative complications were noted. Micropulse transscleral cyclophotocoagulation is a non-invasive, repeatable laser procedure that offers both good and stable results in lowering IOP and decreases the use of antiglaucoma medications for up to 18 months.","container-title":"Lasers in Medical Science","DOI":"10.1007/s10103-019-02934-x","ISSN":"1435-604X","issue":"7","journalAbbreviation":"Lasers Med Sci","language":"eng","note":"PMID: 31939035","page":"1487-1491","source":"PubMed","title":"Clinical outcomes of micropulse transscleral cyclophotocoagulation in refractory glaucoma-18 months follow-up","volume":"35","author":[{"family":"Preda","given":"Maria Alexandra"},{"family":"Karancsi","given":"Olimpiu L."},{"family":"Munteanu","given":"Mihnea"},{"family":"Stanca","given":"Horia T."}],"issued":{"date-parts":[["2020",9]]},"citation-key":"preda2020"}},{"id":1597,"uris":["http://zotero.org/users/15573016/items/QFQUA8AZ"],"itemData":{"id":1597,"type":"article-journal","abstract":"Purpose:\n              This study aimed at evaluating the intermediate-term efficacy and safety of micropulse transscleral cyclophotocoagulation (MP-TSCPC) in cases of uncontrolled glaucoma.\n            \n            \n              Methods:\n              Patients with moderate to advanced glaucoma and uncontrolled intraocular pressure (IOP) despite maximally tolerable antiglaucoma medications were selected to undergo MP-TSCPC using the MP3 handpiece with the Iridex Cyclo G6 (IRIDEX Laser Systems). Follow-up examinations took place on a regular basis until 15 months postoperatively.\n            \n            \n              Results:\n              \n                Seventy-five eyes of 69 patients (53.6% male patients) were included. Mean age was 55.5±22.9 years. Primary open-angle glaucoma was the most common diagnosis. Corrected distance visual acuity at baseline ranged between 0 and 2.1 logMAR. Mean prelaser IOP was 26.0±7.91 mm Hg. This was reduced significantly to 13.8±5.6 mm Hg (44.0% reduction,\n                P\n                &lt;0.001) at week 1, and to 18.0±7.7, 18.4±7.1, 16.7±6.2, 15.1±4.1, 15.7±5.32, and 14.8±5.50 mm Hg at months 1, 3, 6, 9, 12, and 15, respectively. The mean number of antiglaucoma drops decreased significantly up to 12 months of follow-up (\n                P\n                =0.008) and that of oral acetazolamide tablets decreased significantly up to 15 months (\n                P\n                &lt;0.001). The success rate decreased progressively with time, reaching 81.4% at 6 months and 73.3% at 1 year. No major postoperative complications were encountered, and no eye lost vision completely.\n              \n            \n            \n              Conclusions:\n              MP-TSCPC is an efficient noninvasive glaucoma treatment that achieves sustained IOP reduction and reduced need for ocular antihypertensive medications for up to 15 months. The optimal laser parameters to achieve the best success rate with the least side effects still need to be determined.","container-title":"Journal of Glaucoma","DOI":"10.1097/IJG.0000000000001174","ISSN":"1057-0829","issue":"3","language":"en","license":"http://creativecommons.org/licenses/by-nc-nd/4.0/ http://creativecommons.org/licenses/by-nc-nd/4.0/","page":"270-275","source":"DOI.org (Crossref)","title":"Outcomes of Micropulse Transscleral Cyclophotocoagulation in Uncontrolled Glaucoma Patients","URL":"https://journals.lww.com/00061198-201903000-00014","volume":"28","author":[{"family":"Zaarour","given":"Karen"},{"family":"Abdelmassih","given":"Youssef"},{"family":"Arej","given":"Nicolas"},{"family":"Cherfan","given":"Georges"},{"family":"Tomey","given":"Karim F."},{"family":"Khoueir","given":"Ziad"}],"accessed":{"date-parts":[["2025",6,30]]},"issued":{"date-parts":[["2019",3]]},"citation-key":"zaarour2019"}}],"schema":"https://github.com/citation-style-language/schema/raw/master/csl-citation.json"} </w:instrText>
      </w:r>
      <w:r w:rsidR="00B823B8">
        <w:fldChar w:fldCharType="separate"/>
      </w:r>
      <w:r w:rsidR="00B823B8">
        <w:rPr>
          <w:noProof/>
        </w:rPr>
        <w:t>(Elhusseiny et al., 2024; Preda et al., 2020; Zaarour et al., 2019)</w:t>
      </w:r>
      <w:r w:rsidR="00B823B8">
        <w:fldChar w:fldCharType="end"/>
      </w:r>
      <w:r w:rsidRPr="00492CDC">
        <w:t>.</w:t>
      </w:r>
    </w:p>
    <w:p w14:paraId="7614CAA2" w14:textId="11A1F314" w:rsidR="00492CDC" w:rsidRDefault="00492CDC" w:rsidP="003A0B82">
      <w:pPr>
        <w:spacing w:line="360" w:lineRule="auto"/>
        <w:jc w:val="both"/>
      </w:pPr>
      <w:r w:rsidRPr="00492CDC">
        <w:t>Despite their effective IOP-lowering potential, many patients do not maintain target IOP levels without adjunctive medical therapy</w:t>
      </w:r>
      <w:r w:rsidR="00B823B8">
        <w:t xml:space="preserve"> </w:t>
      </w:r>
      <w:r w:rsidR="00B823B8">
        <w:fldChar w:fldCharType="begin"/>
      </w:r>
      <w:r w:rsidR="00B823B8">
        <w:instrText xml:space="preserve"> ADDIN ZOTERO_ITEM CSL_CITATION {"citationID":"TbCWzTWP","properties":{"formattedCitation":"(de Vries et al., 2022)","plainCitation":"(de Vries et al., 2022)","noteIndex":0},"citationItems":[{"id":995,"uris":["http://zotero.org/users/15573016/items/Z4CFL9EJ"],"itemData":{"id":995,"type":"article-journal","abstract":"Background: Early studies have shown that micropulse transscleral cycl ophotocoagulation (MP-TSCPC) might be an effective and safe treatment option for lowering intraocular pressure (IOP). These studies were, ho wever, somewhat limited, in particular by their retrospective nature a nd the length of follow-up. Therefore, we assessed the efficacy and sa fety of this novel treatment in a large cohort for up to 4 years. Meth ods: We performed a prospective cohort study, including all patients w ho were treated with MP-TSCPC since November 2017. The primary outcome was a reduction of IOP and the number of IOP-lowering medications. Re sults: The mean ± standard deviation baseline IOP and number of IOP-lo wering medications were 26.6 ± 10.8 mmHg and 3.3 ± 1.3. IOP was reduce d by 8.2 ± 7.9 (31.8% reduction), 6.9 ± 8.7 (28.1% reduction), and 7.1 ± 8.4 (30.2% reduction) mmHg after 6, 12, and 24 months, respectively (p &lt; 0.001). The mean postoperative number of IOP-lowering medication s was significantly reduced after 6 months by 0.6 ± 1.5 (p = 0.002) bu t was not significantly different after 12 or 24 months. Oral acetazol amide was significantly reduced from 28 (29%) eyes before treatment, t o 9 (9%) at the last follow-up visit (p &lt; 0.001). No major complicatio ns were observed after treatment. Conclusions: MP-TSCPC is a safe and effective treatment option for lowering IOP, but only reduced IOP-lowe ring medications in the first 6 months after treatment. However, MP-TS CPC is especially effective in getting patients off oral IOP-lowering drugs.","archive":"Crossref","container-title":"Journal of Clinical Medicine","DOI":"10.3390/jcm11123447","ISSN":"2077-0383","issue":"12","journalAbbreviation":"JCM","language":"en","page":"3447","title":"Efficacy and Safety of Micropulse Transscleral Cyclophotocoagulation","URL":"http://dx.doi.org/10.3390/jcm11123447","volume":"11","author":[{"family":"Vries","given":"Victor. A.","non-dropping-particle":"de"},{"family":"Pals","given":"Jan"},{"family":"Poelman","given":"Huub J."},{"family":"Rostamzad","given":"Parinaz"},{"family":"Wolfs","given":"Roger C. W."},{"family":"Ramdas","given":"Wishal D."}],"issued":{"date-parts":[["2022",6,15]]},"citation-key":"devries2022"}}],"schema":"https://github.com/citation-style-language/schema/raw/master/csl-citation.json"} </w:instrText>
      </w:r>
      <w:r w:rsidR="00B823B8">
        <w:fldChar w:fldCharType="separate"/>
      </w:r>
      <w:r w:rsidR="00B823B8">
        <w:rPr>
          <w:noProof/>
        </w:rPr>
        <w:t>(de Vries et al., 2022)</w:t>
      </w:r>
      <w:r w:rsidR="00B823B8">
        <w:fldChar w:fldCharType="end"/>
      </w:r>
      <w:r w:rsidRPr="00492CDC">
        <w:t xml:space="preserve">. Reported retreatment rates are approximately 30–40% at two years post-procedure </w:t>
      </w:r>
      <w:r w:rsidR="00B823B8">
        <w:t xml:space="preserve"> </w:t>
      </w:r>
      <w:r w:rsidR="00B823B8">
        <w:fldChar w:fldCharType="begin"/>
      </w:r>
      <w:r w:rsidR="00B823B8">
        <w:instrText xml:space="preserve"> ADDIN ZOTERO_ITEM CSL_CITATION {"citationID":"RZFG63K7","properties":{"formattedCitation":"(Bolek et al., 2023; Rasmuson et al., 2019)","plainCitation":"(Bolek et al., 2023; Rasmuson et al., 2019)","noteIndex":0},"citationItems":[{"id":1600,"uris":["http://zotero.org/users/15573016/items/98FXAMTY"],"itemData":{"id":1600,"type":"article-journal","abstract":"Background: This study aimed to assess the effectiveness and safety of transscleral microcyclophotocoagulation (µCPC) in patients with glaucoma for eighteen consecutive months. Methods: Sixty-one patients (64 eyes) with primary and secondary glaucoma were enrolled to undergo µCPC (diode laser FOX 810, A.R.C. Laser, Nuremberg, Germany). The primary outcome measures were intraocular pressure (IOP) reduction, success rates, glaucoma medication use, and visual acuity after µCPC. An IOP reduction of 20% compared to the baseline value without re-intervention was considered a successful treatment. Complete success was defined as cessation of antiglaucoma medications. Secondary outcome measures included intraoperative and postoperative complications. Measurements were performed preoperatively and at the first week, and 1, 3, 6, 12, and 18 months postoperatively. Results: The mean ± SD values of IOP preoperatively at 1 day, 1 week, 1, 3, 6, 12, and 18 months postoperatively were 25.1 ± 8.4 mmHg, 17.3 ± 4.5 mmHg (p &lt; 0.001), 16.5 ± 6.1 mmHg (p &lt; 0.001), 20.5 ± 8.3 mmHg (p &lt; 0.001), 17.1 ± 6.2 mmHg (p &lt; 0.001), 18.0 ± 7.1 mmHg (p &lt; 0.001), 15.8 ± 3.2 mmHg (p &lt; 0.001), and 17.0 ± 5.9 mmHg (p &lt; 0.001), respectively. The mean IOP at the last follow-up was reduced by 32.5%. The decrease in the number of antiglaucoma medications was statistically significant at each follow-up visit compared to the baseline. The qualified success rate was 38.5%. Two patients at 18-month follow-up did not require the use of antiglaucoma medications—complete success rate—3.1%. During the follow-up period, twenty-five eyes (39.1%) that required retreatment due to nonachievement of the target IOP were considered as failures. Eleven patients (12 eyes—18.8%) were lost to follow-up. A total of 26 patients (27 eyes) were evaluated 18 months after µCPC. Hypotony was observed in one patient (1.6%) and uveitis in two patients (3.1%) after the procedure. There were no other significant intraoperative or postoperative complications observed. Conclusions: The µCPC is well tolerated and safe for reducing IOP in glaucoma patients in medium-term follow-up; however, success is moderate. Randomized, larger studies are needed to confirm the obtained results.","container-title":"Journal of Clinical Medicine","DOI":"10.3390/jcm12134342","ISSN":"2077-0383","issue":"13","journalAbbreviation":"JCM","language":"en","license":"https://creativecommons.org/licenses/by/4.0/","page":"4342","source":"DOI.org (Crossref)","title":"Microcyclophotocoagulation in Glaucoma Treatment: A Medium-Term Follow-Up Study","title-short":"Microcyclophotocoagulation in Glaucoma Treatment","URL":"https://www.mdpi.com/2077-0383/12/13/4342","volume":"12","author":[{"family":"Bolek","given":"Bartłomiej"},{"family":"Wylęgała","given":"Adam"},{"family":"Wylęgała","given":"Edward"}],"accessed":{"date-parts":[["2025",6,30]]},"issued":{"date-parts":[["2023",6,28]]},"citation-key":"bolek2023"}},{"id":1675,"uris":["http://zotero.org/users/15573016/items/H3ZL8ME6"],"itemData":{"id":1675,"type":"article-journal","abstract":"Abstract\n            \n              Purpose\n              \n                To retrospectively evaluate the efficacy and safety of all transscleral cyclophotocoagulation (\n                TCP\n                ) treatments performed during a 5‐year period.\n              \n            \n            \n              Methods\n              \n                Medical records of all patients, who had undergone\n                TCP\n                treatment between 2010 and 2014 at Umeå University Hospital, Sweden, were evaluated. Clinical data including intraocular pressure (\n                IOP\n                ), visual acuity (\n                VA\n                ), number of topical glaucoma medications, use of oral acetazolamide, retreatments and complications during a 2‐year follow‐up were registered. Global success was defined as\n                IOP\n                6–18 mmHg with or without glaucoma medication.\n              \n            \n            \n              Results\n              \n                Three hundred patients underwent\n                TCP\n                during the time period. Mean\n                IOP\n                at baseline was 29.3 ± 11.0 (mean ± standard deviation) mmHg (\n                n \n                =\n                 \n                297) with a mean reduction of 11.5 (±12.0) mmHg at 1 year (\n                n \n                =\n                 \n                258; p &lt; 0.001) and 12.6 (±12.0) mmHg at 2‐year follow‐up (\n                n \n                =\n                 \n                245; p &lt; 0.001). Global success at 2 years was 64%, achieved by a mean of 1.2 treatments (\n                n \n                =\n                 \n                257). The number of topical glaucoma medications at baseline was 3.1 (±1.0;\n                n \n                =\n                 \n                296) and was reduced by 0.9 (±1.0) medications at 2 years (\n                n \n                =\n                 \n                244; p &lt; 0.001). Use of oral acetazolamide decreased from 30% (\n                n \n                =\n                 \n                90) at baseline to 5.3% (\n                n \n                =\n                 \n                13) at 2 years. In eyes with Snellen\n                VA\n                 ≥ 0.1, the mean\n                VA\n                at baseline was 0.55 (±0.3) logarithm of the minimum angle of resolution (logMAR;\n                n \n                =\n                 \n                132) and 1.1 (±0.9) log\n                MAR\n                (\n                n \n                =\n                 \n                76) at 2 years (p &lt; 0.001). No cases of phthisis bulbi were found.\n              \n            \n            \n              Conclusion\n              \n                This study displays a substantial and long‐term reduction of\n                IOP\n                following\n                TCP\n                with a decrease in topical and oral glaucoma medications. The treatment appears to be safe but the decrease in\n                VA\n                during follow‐up is a concern that needs further evaluation.","container-title":"Acta Ophthalmologica","DOI":"10.1111/aos.14125","ISSN":"1755-375X, 1755-3768","issue":"8","journalAbbreviation":"Acta Ophthalmologica","language":"en","page":"764-770","source":"DOI.org (Crossref)","title":"Efficacy and safety of transscleral cyclophotocoagulation in Swedish glaucoma patients","URL":"https://onlinelibrary.wiley.com/doi/10.1111/aos.14125","volume":"97","author":[{"family":"Rasmuson","given":"Erika"},{"family":"Lindén","given":"Christina"},{"family":"Lundberg","given":"Björn"},{"family":"Jóhannesson","given":"Gauti"}],"accessed":{"date-parts":[["2025",6,30]]},"issued":{"date-parts":[["2019",12]]},"citation-key":"rasmuson2019"}}],"schema":"https://github.com/citation-style-language/schema/raw/master/csl-citation.json"} </w:instrText>
      </w:r>
      <w:r w:rsidR="00B823B8">
        <w:fldChar w:fldCharType="separate"/>
      </w:r>
      <w:r w:rsidR="00B823B8">
        <w:rPr>
          <w:noProof/>
        </w:rPr>
        <w:t>(Bolek et al., 2023; Rasmuson et al., 2019)</w:t>
      </w:r>
      <w:r w:rsidR="00B823B8">
        <w:fldChar w:fldCharType="end"/>
      </w:r>
      <w:r w:rsidR="00B823B8">
        <w:t xml:space="preserve">. </w:t>
      </w:r>
    </w:p>
    <w:p w14:paraId="53775FE2" w14:textId="77777777" w:rsidR="00286F62" w:rsidRDefault="00286F62" w:rsidP="003A0B82">
      <w:pPr>
        <w:spacing w:line="360" w:lineRule="auto"/>
        <w:jc w:val="both"/>
      </w:pPr>
    </w:p>
    <w:p w14:paraId="1353D4C9" w14:textId="7EB11567" w:rsidR="00506F66" w:rsidRDefault="00506F66" w:rsidP="003A0B82">
      <w:pPr>
        <w:spacing w:line="360" w:lineRule="auto"/>
        <w:jc w:val="both"/>
      </w:pPr>
      <w:r>
        <w:lastRenderedPageBreak/>
        <w:t>Postoperative complications</w:t>
      </w:r>
      <w:r w:rsidR="00A2654F">
        <w:t xml:space="preserve"> (</w:t>
      </w:r>
      <w:r w:rsidR="00A2654F" w:rsidRPr="00A2654F">
        <w:rPr>
          <w:i/>
          <w:iCs/>
        </w:rPr>
        <w:fldChar w:fldCharType="begin"/>
      </w:r>
      <w:r w:rsidR="00A2654F" w:rsidRPr="00A2654F">
        <w:rPr>
          <w:i/>
          <w:iCs/>
        </w:rPr>
        <w:instrText xml:space="preserve"> REF _Ref213182416 \h </w:instrText>
      </w:r>
      <w:r w:rsidR="00A2654F" w:rsidRPr="00A2654F">
        <w:rPr>
          <w:i/>
          <w:iCs/>
        </w:rPr>
      </w:r>
      <w:r w:rsidR="00A2654F">
        <w:rPr>
          <w:i/>
          <w:iCs/>
        </w:rPr>
        <w:instrText xml:space="preserve"> \* MERGEFORMAT </w:instrText>
      </w:r>
      <w:r w:rsidR="00A2654F" w:rsidRPr="00A2654F">
        <w:rPr>
          <w:i/>
          <w:iCs/>
        </w:rPr>
        <w:fldChar w:fldCharType="separate"/>
      </w:r>
      <w:proofErr w:type="spellStart"/>
      <w:r w:rsidR="00A2654F" w:rsidRPr="00A2654F">
        <w:rPr>
          <w:i/>
          <w:iCs/>
          <w:lang w:val="nb-NO"/>
        </w:rPr>
        <w:t>Table</w:t>
      </w:r>
      <w:proofErr w:type="spellEnd"/>
      <w:r w:rsidR="00A2654F" w:rsidRPr="00A2654F">
        <w:rPr>
          <w:i/>
          <w:iCs/>
          <w:lang w:val="nb-NO"/>
        </w:rPr>
        <w:t xml:space="preserve"> </w:t>
      </w:r>
      <w:r w:rsidR="00A2654F" w:rsidRPr="00A2654F">
        <w:rPr>
          <w:i/>
          <w:iCs/>
          <w:noProof/>
          <w:lang w:val="nb-NO"/>
        </w:rPr>
        <w:t>6</w:t>
      </w:r>
      <w:r w:rsidR="00A2654F" w:rsidRPr="00A2654F">
        <w:rPr>
          <w:i/>
          <w:iCs/>
        </w:rPr>
        <w:fldChar w:fldCharType="end"/>
      </w:r>
      <w:r w:rsidR="00A2654F">
        <w:t>)</w:t>
      </w:r>
      <w:r>
        <w:t xml:space="preserve"> are influenced by the extent of tissue ablation and the resulting inhibition of aqueous humor production. Moreover, tissue alteration and collateral tissue destruction influence the postoperative profile of cyclodestructive procedures</w:t>
      </w:r>
      <w:bookmarkStart w:id="36" w:name="_Hlk212802116"/>
      <w:r>
        <w:t xml:space="preserve"> </w:t>
      </w:r>
      <w:r w:rsidR="00B823B8">
        <w:fldChar w:fldCharType="begin"/>
      </w:r>
      <w:r w:rsidR="00B823B8">
        <w:instrText xml:space="preserve"> ADDIN ZOTERO_ITEM CSL_CITATION {"citationID":"oA6pJdx0","properties":{"formattedCitation":"(Chavez et al., 2025; Souissi et al., 2021)","plainCitation":"(Chavez et al., 2025; Souissi et al., 2021)","noteIndex":0},"citationItems":[{"id":1590,"uris":["http://zotero.org/users/15573016/items/G59QEH4R"],"itemData":{"id":1590,"type":"article-journal","abstract":"Précis:\n              Micropulse transscleral laser treatment (MP-TLT) and continuous wave transscleral cyclophotocoagulation demonstrated comparable intraocular pressure across all follow-ups. MP-TLT was associated with significantly lower risks of ocular complications such as hypotony, prolonged inflammation, and phthisis bulbi.\n            \n            \n              Purpose:\n              To compare the efficacy and safety of micropulse transscleral laser treatment (MP-TLT) and continuous wave transscleral cyclophotocoagulation (CW-TSCPC) for the treatment of glaucoma or ocular hypertension.\n            \n            \n              Methods:\n              \n                A systematic search was conducted in PubMed, Cochrane Library, Embase, and ClinicalTrials.gov. Randomized controlled trials (RCTs) or cohort studies comparing MP-TLT and CW-TSCPC were included. Weighted mean differences (MDs) were computed for continuous endpoints and risk ratios (RRs) for binary endpoints, with 95% confidence intervals (CIs). Heterogeneity was assessed with I\n                2\n                statistics. Software R, version 4.4.0, was used for statistical analyses. Subgroup analyses were conducted on glaucoma types.\n              \n            \n            \n              Results:\n              Eleven studies encompassing 1,054 eyes from 986 patients were included, with 47.4% receiving MP-TLT. There were no significant differences in IOP between CW-TSCPC and MP-TLT at one week, one month, three months, six months, 12 months, and 18 months of follow-up. The MP-TLT group required a significantly higher number of hypotensive medications but displayed significantly reduced risks of overall complications, ocular hypotony, prolonged inflammation, and phthisis bulbi compared to CW-TSCPC.\n            \n            \n              Conclusion:\n              MP-TLT and CW-TSCPC showed similar efficacy in IOP control. However, MP-TLT demonstrated a greater safety profile, suggesting its potential suitability for patients requiring repeat interventions or those with lower tolerance for ocular complications.","container-title":"Journal of Glaucoma","DOI":"10.1097/IJG.0000000000002583","ISSN":"1057-0829, 1536-481X","language":"en","source":"DOI.org (Crossref)","title":"Micropulse Transscleral Laser Treatment vs. Continuous Wave Transscleral Cyclophotocoagulation for the Treatment of Glaucoma or Ocular Hypertension: A Meta-Analysis","title-short":"Micropulse Transscleral Laser Treatment vs. Continuous Wave Transscleral Cyclophotocoagulation for the Treatment of Glaucoma or Ocular Hypertension","URL":"https://journals.lww.com/10.1097/IJG.0000000000002583","author":[{"family":"Chavez","given":"Matheus Pedrotti"},{"family":"Guedes","given":"Guilherme Barroso"},{"family":"Pasqualotto","given":"Eric"},{"family":"De Almeida","given":"Izabela Negrão Frota"},{"family":"Lopes","given":"Lucca Moreira"},{"family":"Prata","given":"Tiago Santos"},{"family":"De Souza","given":"Tiago Tomaz"}],"accessed":{"date-parts":[["2025",6,30]]},"issued":{"date-parts":[["2025",4,29]]},"citation-key":"chavez2025"}},{"id":1714,"uris":["http://zotero.org/users/15573016/items/PM3EIRD7"],"itemData":{"id":1714,"type":"article-journal","abstract":"Abstract\n            \n              Purpose\n              Continuous‐wave cyclophotocoagulation (CW‐CPC) is often preferred to medical and surgical treatments for managing refractory glaucoma. This review summarizes diode CW‐CPC indications, history, histopathology, methods, efficacy and safety. It also provides an overview of the latest data available on micropulse transscleral laser treatment (MP‐TLT) that uses repetitive micropulses of diode laser energy in an off‐and‐on cyclical fashion.\n            \n            \n              Methods\n              A literature review was conducted on transscleral CW‐CPC (CW‐TSCPC), endoscopic CPC (ECP) and MP‐TLT. Relevant series of adult and paediatric patients were included for assessing the procedures.\n            \n            \n              Results\n              Regarding CW‐TCPC, highly variable success rates are reported in the literature, depending on the definition of success, type of underlying glaucoma, energy settings, follow‐up duration and retreatment rates. CW‐CPC often needs to be repeated, especially in paediatric patients. CW‐CPC exposes to risks of inflammation and chronic ocular hypotony or phthisis with irreversible visual loss. CW‐TSCPC has mainly been used in very severe forms of glaucoma, in painful eyes with limited visual potential or after filtering surgery failure. Published data on ECP are more limited but overall good success rates have been reported. Through the direct visualization of the targeted ciliary body in anatomically abnormal eyes, ECP is the preferred surgical procedure in paediatric refractory glaucoma. Complication rates are relatively low after ECP; however, large studies with long‐term follow‐up are needed. ECP may be used in difficult, refractory cases, but it is often used earlier when combined with cataract surgery. Despite limited data on the exact mechanism of action of MP‐TLT and a lack of standardization of laser settings, the first data from heterogeneous case series shows that it has a similar efficacy and a better safety profile compared to CW‐TSCPC in the medium term.\n            \n            \n              Conclusion\n              Although they may lead to sight‐threatening complications, both CW‐TSCPC and ECP seem effective. ECP appears to be superior to CW‐TSCPC in paediatric refractory glaucoma. Unlike ECP combined with cataract surgery, evidence supporting a wider use of CW‐TSCPC and MP‐TLT in earlier stages of neuropathy is lacking. While it now appears that the safety profile of MP‐TLT is superior to that of CW‐CPC, robust prospective comparative studies including homogeneous and well‐defined cohorts of patients are still needed to confirm an at least comparable efficacy in the long term.","container-title":"Acta Ophthalmologica","DOI":"10.1111/aos.14661","ISSN":"1755-375X, 1755-3768","issue":"5","journalAbbreviation":"Acta Ophthalmologica","language":"en","source":"DOI.org (Crossref)","title":"An update on continuous‐wave cyclophotocoagulation (CW‐CPC) and micropulse transscleral laser treatment (MP‐TLT) for adult and paediatric refractory glaucoma","URL":"https://onlinelibrary.wiley.com/doi/10.1111/aos.14661","volume":"99","author":[{"family":"Souissi","given":"Soufiane"},{"family":"Le Mer","given":"Yannick"},{"family":"Metge","given":"Florence"},{"family":"Portmann","given":"Alexandre"},{"family":"Baudouin","given":"Christophe"},{"family":"Labbé","given":"Antoine"},{"family":"Hamard","given":"Pascale"}],"accessed":{"date-parts":[["2025",7,1]]},"issued":{"date-parts":[["2021",8]]},"citation-key":"souissi2021"}}],"schema":"https://github.com/citation-style-language/schema/raw/master/csl-citation.json"} </w:instrText>
      </w:r>
      <w:r w:rsidR="00B823B8">
        <w:fldChar w:fldCharType="separate"/>
      </w:r>
      <w:r w:rsidR="00B823B8">
        <w:rPr>
          <w:noProof/>
        </w:rPr>
        <w:t>(Chavez et al., 2025; Souissi et al., 2021)</w:t>
      </w:r>
      <w:r w:rsidR="00B823B8">
        <w:fldChar w:fldCharType="end"/>
      </w:r>
      <w:bookmarkEnd w:id="36"/>
      <w:r w:rsidR="00B823B8">
        <w:t>.</w:t>
      </w:r>
    </w:p>
    <w:p w14:paraId="6A49B763" w14:textId="77777777" w:rsidR="00C04E2A" w:rsidRDefault="00C04E2A" w:rsidP="003A0B82">
      <w:pPr>
        <w:spacing w:line="360" w:lineRule="auto"/>
        <w:jc w:val="both"/>
      </w:pPr>
    </w:p>
    <w:p w14:paraId="500A567B" w14:textId="29A58DBA" w:rsidR="001861FE" w:rsidRDefault="001861FE" w:rsidP="003A0B82">
      <w:pPr>
        <w:spacing w:line="360" w:lineRule="auto"/>
        <w:jc w:val="both"/>
      </w:pPr>
      <w:r>
        <w:t>Early postoperative complications (≤ 90 days) </w:t>
      </w:r>
      <w:r w:rsidR="00506F66">
        <w:t>can be explained</w:t>
      </w:r>
      <w:r>
        <w:t xml:space="preserve"> by inflammation</w:t>
      </w:r>
      <w:r w:rsidR="00506F66">
        <w:t xml:space="preserve"> reactions</w:t>
      </w:r>
      <w:r>
        <w:t>, ocular hypotony, and pain, all of which are significantly more frequent and severe following continuous-wave TS-CPC</w:t>
      </w:r>
      <w:r w:rsidR="00A605B3">
        <w:t xml:space="preserve"> </w:t>
      </w:r>
      <w:r w:rsidR="00B823B8">
        <w:fldChar w:fldCharType="begin"/>
      </w:r>
      <w:r w:rsidR="002C381E">
        <w:instrText xml:space="preserve"> ADDIN ZOTERO_ITEM CSL_CITATION {"citationID":"KQKHCoYu","properties":{"formattedCitation":"(Chavez et al., 2025; Souissi et al., 2021)","plainCitation":"(Chavez et al., 2025; Souissi et al., 2021)","noteIndex":0},"citationItems":[{"id":1590,"uris":["http://zotero.org/users/15573016/items/G59QEH4R"],"itemData":{"id":1590,"type":"article-journal","abstract":"Précis:\n              Micropulse transscleral laser treatment (MP-TLT) and continuous wave transscleral cyclophotocoagulation demonstrated comparable intraocular pressure across all follow-ups. MP-TLT was associated with significantly lower risks of ocular complications such as hypotony, prolonged inflammation, and phthisis bulbi.\n            \n            \n              Purpose:\n              To compare the efficacy and safety of micropulse transscleral laser treatment (MP-TLT) and continuous wave transscleral cyclophotocoagulation (CW-TSCPC) for the treatment of glaucoma or ocular hypertension.\n            \n            \n              Methods:\n              \n                A systematic search was conducted in PubMed, Cochrane Library, Embase, and ClinicalTrials.gov. Randomized controlled trials (RCTs) or cohort studies comparing MP-TLT and CW-TSCPC were included. Weighted mean differences (MDs) were computed for continuous endpoints and risk ratios (RRs) for binary endpoints, with 95% confidence intervals (CIs). Heterogeneity was assessed with I\n                2\n                statistics. Software R, version 4.4.0, was used for statistical analyses. Subgroup analyses were conducted on glaucoma types.\n              \n            \n            \n              Results:\n              Eleven studies encompassing 1,054 eyes from 986 patients were included, with 47.4% receiving MP-TLT. There were no significant differences in IOP between CW-TSCPC and MP-TLT at one week, one month, three months, six months, 12 months, and 18 months of follow-up. The MP-TLT group required a significantly higher number of hypotensive medications but displayed significantly reduced risks of overall complications, ocular hypotony, prolonged inflammation, and phthisis bulbi compared to CW-TSCPC.\n            \n            \n              Conclusion:\n              MP-TLT and CW-TSCPC showed similar efficacy in IOP control. However, MP-TLT demonstrated a greater safety profile, suggesting its potential suitability for patients requiring repeat interventions or those with lower tolerance for ocular complications.","container-title":"Journal of Glaucoma","DOI":"10.1097/IJG.0000000000002583","ISSN":"1057-0829, 1536-481X","language":"en","source":"DOI.org (Crossref)","title":"Micropulse Transscleral Laser Treatment vs. Continuous Wave Transscleral Cyclophotocoagulation for the Treatment of Glaucoma or Ocular Hypertension: A Meta-Analysis","title-short":"Micropulse Transscleral Laser Treatment vs. Continuous Wave Transscleral Cyclophotocoagulation for the Treatment of Glaucoma or Ocular Hypertension","URL":"https://journals.lww.com/10.1097/IJG.0000000000002583","author":[{"family":"Chavez","given":"Matheus Pedrotti"},{"family":"Guedes","given":"Guilherme Barroso"},{"family":"Pasqualotto","given":"Eric"},{"family":"De Almeida","given":"Izabela Negrão Frota"},{"family":"Lopes","given":"Lucca Moreira"},{"family":"Prata","given":"Tiago Santos"},{"family":"De Souza","given":"Tiago Tomaz"}],"accessed":{"date-parts":[["2025",6,30]]},"issued":{"date-parts":[["2025",4,29]]},"citation-key":"chavez2025"}},{"id":1714,"uris":["http://zotero.org/users/15573016/items/PM3EIRD7"],"itemData":{"id":1714,"type":"article-journal","abstract":"Abstract\n            \n              Purpose\n              Continuous‐wave cyclophotocoagulation (CW‐CPC) is often preferred to medical and surgical treatments for managing refractory glaucoma. This review summarizes diode CW‐CPC indications, history, histopathology, methods, efficacy and safety. It also provides an overview of the latest data available on micropulse transscleral laser treatment (MP‐TLT) that uses repetitive micropulses of diode laser energy in an off‐and‐on cyclical fashion.\n            \n            \n              Methods\n              A literature review was conducted on transscleral CW‐CPC (CW‐TSCPC), endoscopic CPC (ECP) and MP‐TLT. Relevant series of adult and paediatric patients were included for assessing the procedures.\n            \n            \n              Results\n              Regarding CW‐TCPC, highly variable success rates are reported in the literature, depending on the definition of success, type of underlying glaucoma, energy settings, follow‐up duration and retreatment rates. CW‐CPC often needs to be repeated, especially in paediatric patients. CW‐CPC exposes to risks of inflammation and chronic ocular hypotony or phthisis with irreversible visual loss. CW‐TSCPC has mainly been used in very severe forms of glaucoma, in painful eyes with limited visual potential or after filtering surgery failure. Published data on ECP are more limited but overall good success rates have been reported. Through the direct visualization of the targeted ciliary body in anatomically abnormal eyes, ECP is the preferred surgical procedure in paediatric refractory glaucoma. Complication rates are relatively low after ECP; however, large studies with long‐term follow‐up are needed. ECP may be used in difficult, refractory cases, but it is often used earlier when combined with cataract surgery. Despite limited data on the exact mechanism of action of MP‐TLT and a lack of standardization of laser settings, the first data from heterogeneous case series shows that it has a similar efficacy and a better safety profile compared to CW‐TSCPC in the medium term.\n            \n            \n              Conclusion\n              Although they may lead to sight‐threatening complications, both CW‐TSCPC and ECP seem effective. ECP appears to be superior to CW‐TSCPC in paediatric refractory glaucoma. Unlike ECP combined with cataract surgery, evidence supporting a wider use of CW‐TSCPC and MP‐TLT in earlier stages of neuropathy is lacking. While it now appears that the safety profile of MP‐TLT is superior to that of CW‐CPC, robust prospective comparative studies including homogeneous and well‐defined cohorts of patients are still needed to confirm an at least comparable efficacy in the long term.","container-title":"Acta Ophthalmologica","DOI":"10.1111/aos.14661","ISSN":"1755-375X, 1755-3768","issue":"5","journalAbbreviation":"Acta Ophthalmologica","language":"en","source":"DOI.org (Crossref)","title":"An update on continuous‐wave cyclophotocoagulation (CW‐CPC) and micropulse transscleral laser treatment (MP‐TLT) for adult and paediatric refractory glaucoma","URL":"https://onlinelibrary.wiley.com/doi/10.1111/aos.14661","volume":"99","author":[{"family":"Souissi","given":"Soufiane"},{"family":"Le Mer","given":"Yannick"},{"family":"Metge","given":"Florence"},{"family":"Portmann","given":"Alexandre"},{"family":"Baudouin","given":"Christophe"},{"family":"Labbé","given":"Antoine"},{"family":"Hamard","given":"Pascale"}],"accessed":{"date-parts":[["2025",7,1]]},"issued":{"date-parts":[["2021",8]]},"citation-key":"souissi2021"}}],"schema":"https://github.com/citation-style-language/schema/raw/master/csl-citation.json"} </w:instrText>
      </w:r>
      <w:r w:rsidR="00B823B8">
        <w:fldChar w:fldCharType="separate"/>
      </w:r>
      <w:r w:rsidR="00B823B8">
        <w:rPr>
          <w:noProof/>
        </w:rPr>
        <w:t>(Chavez et al., 2025; Souissi et al., 2021)</w:t>
      </w:r>
      <w:r w:rsidR="00B823B8">
        <w:fldChar w:fldCharType="end"/>
      </w:r>
      <w:r>
        <w:t>. </w:t>
      </w:r>
      <w:r w:rsidR="00506F66">
        <w:t>As previously described, this is probably linked to TS-</w:t>
      </w:r>
      <w:r w:rsidR="00506F66" w:rsidRPr="00C04E2A">
        <w:rPr>
          <w:lang w:val="en-US"/>
        </w:rPr>
        <w:t xml:space="preserve">CPC’s higher thermal energy, which induces broader tissue inflammation. </w:t>
      </w:r>
      <w:r w:rsidRPr="00C04E2A">
        <w:rPr>
          <w:lang w:val="en-US"/>
        </w:rPr>
        <w:t>A</w:t>
      </w:r>
      <w:r>
        <w:t xml:space="preserve">nterior uveitis </w:t>
      </w:r>
      <w:r w:rsidR="00506F66">
        <w:t>has been reported by Souissi et al. to occur</w:t>
      </w:r>
      <w:r>
        <w:t xml:space="preserve"> in 5–30% of TS-CPC cases</w:t>
      </w:r>
      <w:r w:rsidR="00506F66">
        <w:t>,</w:t>
      </w:r>
      <w:r>
        <w:t xml:space="preserve"> but in </w:t>
      </w:r>
      <w:r w:rsidR="00506F66">
        <w:t>less</w:t>
      </w:r>
      <w:r>
        <w:t xml:space="preserve"> than 5% </w:t>
      </w:r>
      <w:r w:rsidR="00506F66">
        <w:t>of patients after MP-TSCPC</w:t>
      </w:r>
      <w:r w:rsidR="00B823B8">
        <w:t xml:space="preserve"> </w:t>
      </w:r>
      <w:r w:rsidR="00B823B8">
        <w:fldChar w:fldCharType="begin"/>
      </w:r>
      <w:r w:rsidR="002C381E">
        <w:instrText xml:space="preserve"> ADDIN ZOTERO_ITEM CSL_CITATION {"citationID":"MkIQZUPC","properties":{"formattedCitation":"(Souissi et al., 2021)","plainCitation":"(Souissi et al., 2021)","noteIndex":0},"citationItems":[{"id":1714,"uris":["http://zotero.org/users/15573016/items/PM3EIRD7"],"itemData":{"id":1714,"type":"article-journal","abstract":"Abstract\n            \n              Purpose\n              Continuous‐wave cyclophotocoagulation (CW‐CPC) is often preferred to medical and surgical treatments for managing refractory glaucoma. This review summarizes diode CW‐CPC indications, history, histopathology, methods, efficacy and safety. It also provides an overview of the latest data available on micropulse transscleral laser treatment (MP‐TLT) that uses repetitive micropulses of diode laser energy in an off‐and‐on cyclical fashion.\n            \n            \n              Methods\n              A literature review was conducted on transscleral CW‐CPC (CW‐TSCPC), endoscopic CPC (ECP) and MP‐TLT. Relevant series of adult and paediatric patients were included for assessing the procedures.\n            \n            \n              Results\n              Regarding CW‐TCPC, highly variable success rates are reported in the literature, depending on the definition of success, type of underlying glaucoma, energy settings, follow‐up duration and retreatment rates. CW‐CPC often needs to be repeated, especially in paediatric patients. CW‐CPC exposes to risks of inflammation and chronic ocular hypotony or phthisis with irreversible visual loss. CW‐TSCPC has mainly been used in very severe forms of glaucoma, in painful eyes with limited visual potential or after filtering surgery failure. Published data on ECP are more limited but overall good success rates have been reported. Through the direct visualization of the targeted ciliary body in anatomically abnormal eyes, ECP is the preferred surgical procedure in paediatric refractory glaucoma. Complication rates are relatively low after ECP; however, large studies with long‐term follow‐up are needed. ECP may be used in difficult, refractory cases, but it is often used earlier when combined with cataract surgery. Despite limited data on the exact mechanism of action of MP‐TLT and a lack of standardization of laser settings, the first data from heterogeneous case series shows that it has a similar efficacy and a better safety profile compared to CW‐TSCPC in the medium term.\n            \n            \n              Conclusion\n              Although they may lead to sight‐threatening complications, both CW‐TSCPC and ECP seem effective. ECP appears to be superior to CW‐TSCPC in paediatric refractory glaucoma. Unlike ECP combined with cataract surgery, evidence supporting a wider use of CW‐TSCPC and MP‐TLT in earlier stages of neuropathy is lacking. While it now appears that the safety profile of MP‐TLT is superior to that of CW‐CPC, robust prospective comparative studies including homogeneous and well‐defined cohorts of patients are still needed to confirm an at least comparable efficacy in the long term.","container-title":"Acta Ophthalmologica","DOI":"10.1111/aos.14661","ISSN":"1755-375X, 1755-3768","issue":"5","journalAbbreviation":"Acta Ophthalmologica","language":"en","source":"DOI.org (Crossref)","title":"An update on continuous‐wave cyclophotocoagulation (CW‐CPC) and micropulse transscleral laser treatment (MP‐TLT) for adult and paediatric refractory glaucoma","URL":"https://onlinelibrary.wiley.com/doi/10.1111/aos.14661","volume":"99","author":[{"family":"Souissi","given":"Soufiane"},{"family":"Le Mer","given":"Yannick"},{"family":"Metge","given":"Florence"},{"family":"Portmann","given":"Alexandre"},{"family":"Baudouin","given":"Christophe"},{"family":"Labbé","given":"Antoine"},{"family":"Hamard","given":"Pascale"}],"accessed":{"date-parts":[["2025",7,1]]},"issued":{"date-parts":[["2021",8]]},"citation-key":"souissi2021"}}],"schema":"https://github.com/citation-style-language/schema/raw/master/csl-citation.json"} </w:instrText>
      </w:r>
      <w:r w:rsidR="00B823B8">
        <w:fldChar w:fldCharType="separate"/>
      </w:r>
      <w:r w:rsidR="002C381E">
        <w:rPr>
          <w:noProof/>
        </w:rPr>
        <w:t>(Souissi et al., 2021)</w:t>
      </w:r>
      <w:r w:rsidR="00B823B8">
        <w:fldChar w:fldCharType="end"/>
      </w:r>
      <w:r w:rsidR="002C381E">
        <w:t xml:space="preserve">. </w:t>
      </w:r>
      <w:r w:rsidR="00506F66">
        <w:t xml:space="preserve">The reason for this is assumed to be </w:t>
      </w:r>
      <w:r>
        <w:t xml:space="preserve">the difference between full-thickness coagulative necrosis </w:t>
      </w:r>
      <w:r w:rsidR="00DE67E1">
        <w:t>with</w:t>
      </w:r>
      <w:r>
        <w:t xml:space="preserve"> continuous-wave delivery and </w:t>
      </w:r>
      <w:r w:rsidR="00DE67E1">
        <w:t>reduced, pulsed</w:t>
      </w:r>
      <w:r>
        <w:t xml:space="preserve"> photostimulation in </w:t>
      </w:r>
      <w:r w:rsidR="00DE67E1">
        <w:t>MP-TSCPC</w:t>
      </w:r>
      <w:r>
        <w:t xml:space="preserve">. </w:t>
      </w:r>
      <w:r w:rsidR="00DE67E1">
        <w:t xml:space="preserve">The difference in the magnitude of tissue inflammation and disruption of the blood-aqueous barrier is </w:t>
      </w:r>
      <w:r w:rsidR="00C04E2A">
        <w:t>considered</w:t>
      </w:r>
      <w:r w:rsidR="00DE67E1">
        <w:t xml:space="preserve"> a central factor driving the </w:t>
      </w:r>
      <w:r w:rsidR="00C04E2A">
        <w:t>development</w:t>
      </w:r>
      <w:r w:rsidR="00DE67E1">
        <w:t xml:space="preserve"> of anterior uveitis. Another reported postoperative complication in the literature is pain. </w:t>
      </w:r>
      <w:r w:rsidR="00C04E2A">
        <w:t>Pain</w:t>
      </w:r>
      <w:r w:rsidR="00DE67E1">
        <w:t xml:space="preserve"> has been </w:t>
      </w:r>
      <w:r>
        <w:t>reported in 5–10% of TS-CPC eyes</w:t>
      </w:r>
      <w:r w:rsidR="00DE67E1">
        <w:t xml:space="preserve">. The postprocedural pain is assumed to </w:t>
      </w:r>
      <w:r>
        <w:t>arise from irritation of ciliary nerves and scleral thermal spread</w:t>
      </w:r>
      <w:r w:rsidR="00A605B3">
        <w:t>.</w:t>
      </w:r>
      <w:r>
        <w:t xml:space="preserve"> </w:t>
      </w:r>
      <w:r w:rsidR="00DE67E1">
        <w:t>Post-MP TSCPC pain was only reported in &lt;5% as</w:t>
      </w:r>
      <w:r>
        <w:t xml:space="preserve"> mild, transient discomfort</w:t>
      </w:r>
      <w:r w:rsidR="00DE67E1">
        <w:t xml:space="preserve">. This is again hypothesized to be traceable back to </w:t>
      </w:r>
      <w:r>
        <w:t xml:space="preserve">lower </w:t>
      </w:r>
      <w:r w:rsidR="00DE67E1">
        <w:t xml:space="preserve">thermal energy delivered. </w:t>
      </w:r>
      <w:r w:rsidR="00B823B8">
        <w:fldChar w:fldCharType="begin"/>
      </w:r>
      <w:r w:rsidR="002C381E">
        <w:instrText xml:space="preserve"> ADDIN ZOTERO_ITEM CSL_CITATION {"citationID":"W1kclj2J","properties":{"formattedCitation":"(Chavez et al., 2025)","plainCitation":"(Chavez et al., 2025)","noteIndex":0},"citationItems":[{"id":1590,"uris":["http://zotero.org/users/15573016/items/G59QEH4R"],"itemData":{"id":1590,"type":"article-journal","abstract":"Précis:\n              Micropulse transscleral laser treatment (MP-TLT) and continuous wave transscleral cyclophotocoagulation demonstrated comparable intraocular pressure across all follow-ups. MP-TLT was associated with significantly lower risks of ocular complications such as hypotony, prolonged inflammation, and phthisis bulbi.\n            \n            \n              Purpose:\n              To compare the efficacy and safety of micropulse transscleral laser treatment (MP-TLT) and continuous wave transscleral cyclophotocoagulation (CW-TSCPC) for the treatment of glaucoma or ocular hypertension.\n            \n            \n              Methods:\n              \n                A systematic search was conducted in PubMed, Cochrane Library, Embase, and ClinicalTrials.gov. Randomized controlled trials (RCTs) or cohort studies comparing MP-TLT and CW-TSCPC were included. Weighted mean differences (MDs) were computed for continuous endpoints and risk ratios (RRs) for binary endpoints, with 95% confidence intervals (CIs). Heterogeneity was assessed with I\n                2\n                statistics. Software R, version 4.4.0, was used for statistical analyses. Subgroup analyses were conducted on glaucoma types.\n              \n            \n            \n              Results:\n              Eleven studies encompassing 1,054 eyes from 986 patients were included, with 47.4% receiving MP-TLT. There were no significant differences in IOP between CW-TSCPC and MP-TLT at one week, one month, three months, six months, 12 months, and 18 months of follow-up. The MP-TLT group required a significantly higher number of hypotensive medications but displayed significantly reduced risks of overall complications, ocular hypotony, prolonged inflammation, and phthisis bulbi compared to CW-TSCPC.\n            \n            \n              Conclusion:\n              MP-TLT and CW-TSCPC showed similar efficacy in IOP control. However, MP-TLT demonstrated a greater safety profile, suggesting its potential suitability for patients requiring repeat interventions or those with lower tolerance for ocular complications.","container-title":"Journal of Glaucoma","DOI":"10.1097/IJG.0000000000002583","ISSN":"1057-0829, 1536-481X","language":"en","source":"DOI.org (Crossref)","title":"Micropulse Transscleral Laser Treatment vs. Continuous Wave Transscleral Cyclophotocoagulation for the Treatment of Glaucoma or Ocular Hypertension: A Meta-Analysis","title-short":"Micropulse Transscleral Laser Treatment vs. Continuous Wave Transscleral Cyclophotocoagulation for the Treatment of Glaucoma or Ocular Hypertension","URL":"https://journals.lww.com/10.1097/IJG.0000000000002583","author":[{"family":"Chavez","given":"Matheus Pedrotti"},{"family":"Guedes","given":"Guilherme Barroso"},{"family":"Pasqualotto","given":"Eric"},{"family":"De Almeida","given":"Izabela Negrão Frota"},{"family":"Lopes","given":"Lucca Moreira"},{"family":"Prata","given":"Tiago Santos"},{"family":"De Souza","given":"Tiago Tomaz"}],"accessed":{"date-parts":[["2025",6,30]]},"issued":{"date-parts":[["2025",4,29]]},"citation-key":"chavez2025"}}],"schema":"https://github.com/citation-style-language/schema/raw/master/csl-citation.json"} </w:instrText>
      </w:r>
      <w:r w:rsidR="00B823B8">
        <w:fldChar w:fldCharType="separate"/>
      </w:r>
      <w:r w:rsidR="002C381E">
        <w:rPr>
          <w:noProof/>
        </w:rPr>
        <w:t>(Chavez et al., 2025)</w:t>
      </w:r>
      <w:r w:rsidR="00B823B8">
        <w:fldChar w:fldCharType="end"/>
      </w:r>
      <w:r>
        <w:t>.</w:t>
      </w:r>
      <w:r w:rsidR="00A605B3">
        <w:t xml:space="preserve"> </w:t>
      </w:r>
      <w:r w:rsidR="00DE67E1">
        <w:t xml:space="preserve">Similar to all other glaucoma surgery modalities, after cyclodestructive surgeries, ocular hypotony can also occur. It has been reported as a </w:t>
      </w:r>
      <w:r>
        <w:t>common early complication, observed in ~7% of TS-CPC versus ~1% of MP-TSCPC procedures</w:t>
      </w:r>
      <w:r w:rsidR="00A605B3">
        <w:t xml:space="preserve"> </w:t>
      </w:r>
      <w:r w:rsidR="002C381E">
        <w:fldChar w:fldCharType="begin"/>
      </w:r>
      <w:r w:rsidR="002C381E">
        <w:instrText xml:space="preserve"> ADDIN ZOTERO_ITEM CSL_CITATION {"citationID":"QzR2v36a","properties":{"formattedCitation":"(Chavez et al., 2025)","plainCitation":"(Chavez et al., 2025)","noteIndex":0},"citationItems":[{"id":1590,"uris":["http://zotero.org/users/15573016/items/G59QEH4R"],"itemData":{"id":1590,"type":"article-journal","abstract":"Précis:\n              Micropulse transscleral laser treatment (MP-TLT) and continuous wave transscleral cyclophotocoagulation demonstrated comparable intraocular pressure across all follow-ups. MP-TLT was associated with significantly lower risks of ocular complications such as hypotony, prolonged inflammation, and phthisis bulbi.\n            \n            \n              Purpose:\n              To compare the efficacy and safety of micropulse transscleral laser treatment (MP-TLT) and continuous wave transscleral cyclophotocoagulation (CW-TSCPC) for the treatment of glaucoma or ocular hypertension.\n            \n            \n              Methods:\n              \n                A systematic search was conducted in PubMed, Cochrane Library, Embase, and ClinicalTrials.gov. Randomized controlled trials (RCTs) or cohort studies comparing MP-TLT and CW-TSCPC were included. Weighted mean differences (MDs) were computed for continuous endpoints and risk ratios (RRs) for binary endpoints, with 95% confidence intervals (CIs). Heterogeneity was assessed with I\n                2\n                statistics. Software R, version 4.4.0, was used for statistical analyses. Subgroup analyses were conducted on glaucoma types.\n              \n            \n            \n              Results:\n              Eleven studies encompassing 1,054 eyes from 986 patients were included, with 47.4% receiving MP-TLT. There were no significant differences in IOP between CW-TSCPC and MP-TLT at one week, one month, three months, six months, 12 months, and 18 months of follow-up. The MP-TLT group required a significantly higher number of hypotensive medications but displayed significantly reduced risks of overall complications, ocular hypotony, prolonged inflammation, and phthisis bulbi compared to CW-TSCPC.\n            \n            \n              Conclusion:\n              MP-TLT and CW-TSCPC showed similar efficacy in IOP control. However, MP-TLT demonstrated a greater safety profile, suggesting its potential suitability for patients requiring repeat interventions or those with lower tolerance for ocular complications.","container-title":"Journal of Glaucoma","DOI":"10.1097/IJG.0000000000002583","ISSN":"1057-0829, 1536-481X","language":"en","source":"DOI.org (Crossref)","title":"Micropulse Transscleral Laser Treatment vs. Continuous Wave Transscleral Cyclophotocoagulation for the Treatment of Glaucoma or Ocular Hypertension: A Meta-Analysis","title-short":"Micropulse Transscleral Laser Treatment vs. Continuous Wave Transscleral Cyclophotocoagulation for the Treatment of Glaucoma or Ocular Hypertension","URL":"https://journals.lww.com/10.1097/IJG.0000000000002583","author":[{"family":"Chavez","given":"Matheus Pedrotti"},{"family":"Guedes","given":"Guilherme Barroso"},{"family":"Pasqualotto","given":"Eric"},{"family":"De Almeida","given":"Izabela Negrão Frota"},{"family":"Lopes","given":"Lucca Moreira"},{"family":"Prata","given":"Tiago Santos"},{"family":"De Souza","given":"Tiago Tomaz"}],"accessed":{"date-parts":[["2025",6,30]]},"issued":{"date-parts":[["2025",4,29]]},"citation-key":"chavez2025"}}],"schema":"https://github.com/citation-style-language/schema/raw/master/csl-citation.json"} </w:instrText>
      </w:r>
      <w:r w:rsidR="002C381E">
        <w:fldChar w:fldCharType="separate"/>
      </w:r>
      <w:r w:rsidR="002C381E">
        <w:rPr>
          <w:noProof/>
        </w:rPr>
        <w:t>(Chavez et al., 2025)</w:t>
      </w:r>
      <w:r w:rsidR="002C381E">
        <w:fldChar w:fldCharType="end"/>
      </w:r>
      <w:r>
        <w:t xml:space="preserve">. </w:t>
      </w:r>
      <w:r w:rsidR="00DE67E1">
        <w:t xml:space="preserve">The mechanism behind its occurrence is assumed to be linked to the suppression of aqueous secretion induced by ciliary epithelial ablation. Due to irreversible inhibition of aqueous humor production, hypotony </w:t>
      </w:r>
      <w:r w:rsidR="009D04BF">
        <w:t>may</w:t>
      </w:r>
      <w:r w:rsidR="00DE67E1">
        <w:t xml:space="preserve"> </w:t>
      </w:r>
      <w:r w:rsidR="009D04BF">
        <w:t>persist</w:t>
      </w:r>
      <w:r w:rsidR="00DE67E1">
        <w:t xml:space="preserve"> </w:t>
      </w:r>
      <w:r w:rsidR="009D04BF">
        <w:t>and</w:t>
      </w:r>
      <w:r w:rsidR="00DE67E1">
        <w:t xml:space="preserve"> </w:t>
      </w:r>
      <w:r w:rsidR="009D04BF">
        <w:t>become</w:t>
      </w:r>
      <w:r w:rsidR="00DE67E1">
        <w:t xml:space="preserve"> a long-term complication. </w:t>
      </w:r>
      <w:r>
        <w:t>Other early but less frequent</w:t>
      </w:r>
      <w:r w:rsidR="00DE67E1">
        <w:t>ly reported complications</w:t>
      </w:r>
      <w:r>
        <w:t xml:space="preserve"> include cystoid macular edema (CME) (1–5%)</w:t>
      </w:r>
      <w:r w:rsidR="009D04BF">
        <w:t xml:space="preserve"> </w:t>
      </w:r>
      <w:r>
        <w:t>and mild corneal edem</w:t>
      </w:r>
      <w:r w:rsidR="009D04BF">
        <w:t xml:space="preserve">a </w:t>
      </w:r>
      <w:r w:rsidR="009D04BF">
        <w:fldChar w:fldCharType="begin"/>
      </w:r>
      <w:r w:rsidR="009D04BF">
        <w:instrText xml:space="preserve"> ADDIN ZOTERO_ITEM CSL_CITATION {"citationID":"26MGuC6C","properties":{"formattedCitation":"(Souissi et al., 2021)","plainCitation":"(Souissi et al., 2021)","noteIndex":0},"citationItems":[{"id":1714,"uris":["http://zotero.org/users/15573016/items/PM3EIRD7"],"itemData":{"id":1714,"type":"article-journal","abstract":"Abstract\n            \n              Purpose\n              Continuous‐wave cyclophotocoagulation (CW‐CPC) is often preferred to medical and surgical treatments for managing refractory glaucoma. This review summarizes diode CW‐CPC indications, history, histopathology, methods, efficacy and safety. It also provides an overview of the latest data available on micropulse transscleral laser treatment (MP‐TLT) that uses repetitive micropulses of diode laser energy in an off‐and‐on cyclical fashion.\n            \n            \n              Methods\n              A literature review was conducted on transscleral CW‐CPC (CW‐TSCPC), endoscopic CPC (ECP) and MP‐TLT. Relevant series of adult and paediatric patients were included for assessing the procedures.\n            \n            \n              Results\n              Regarding CW‐TCPC, highly variable success rates are reported in the literature, depending on the definition of success, type of underlying glaucoma, energy settings, follow‐up duration and retreatment rates. CW‐CPC often needs to be repeated, especially in paediatric patients. CW‐CPC exposes to risks of inflammation and chronic ocular hypotony or phthisis with irreversible visual loss. CW‐TSCPC has mainly been used in very severe forms of glaucoma, in painful eyes with limited visual potential or after filtering surgery failure. Published data on ECP are more limited but overall good success rates have been reported. Through the direct visualization of the targeted ciliary body in anatomically abnormal eyes, ECP is the preferred surgical procedure in paediatric refractory glaucoma. Complication rates are relatively low after ECP; however, large studies with long‐term follow‐up are needed. ECP may be used in difficult, refractory cases, but it is often used earlier when combined with cataract surgery. Despite limited data on the exact mechanism of action of MP‐TLT and a lack of standardization of laser settings, the first data from heterogeneous case series shows that it has a similar efficacy and a better safety profile compared to CW‐TSCPC in the medium term.\n            \n            \n              Conclusion\n              Although they may lead to sight‐threatening complications, both CW‐TSCPC and ECP seem effective. ECP appears to be superior to CW‐TSCPC in paediatric refractory glaucoma. Unlike ECP combined with cataract surgery, evidence supporting a wider use of CW‐TSCPC and MP‐TLT in earlier stages of neuropathy is lacking. While it now appears that the safety profile of MP‐TLT is superior to that of CW‐CPC, robust prospective comparative studies including homogeneous and well‐defined cohorts of patients are still needed to confirm an at least comparable efficacy in the long term.","container-title":"Acta Ophthalmologica","DOI":"10.1111/aos.14661","ISSN":"1755-375X, 1755-3768","issue":"5","journalAbbreviation":"Acta Ophthalmologica","language":"en","source":"DOI.org (Crossref)","title":"An update on continuous‐wave cyclophotocoagulation (CW‐CPC) and micropulse transscleral laser treatment (MP‐TLT) for adult and paediatric refractory glaucoma","URL":"https://onlinelibrary.wiley.com/doi/10.1111/aos.14661","volume":"99","author":[{"family":"Souissi","given":"Soufiane"},{"family":"Le Mer","given":"Yannick"},{"family":"Metge","given":"Florence"},{"family":"Portmann","given":"Alexandre"},{"family":"Baudouin","given":"Christophe"},{"family":"Labbé","given":"Antoine"},{"family":"Hamard","given":"Pascale"}],"accessed":{"date-parts":[["2025",7,1]]},"issued":{"date-parts":[["2021",8]]},"citation-key":"souissi2021"}}],"schema":"https://github.com/citation-style-language/schema/raw/master/csl-citation.json"} </w:instrText>
      </w:r>
      <w:r w:rsidR="009D04BF">
        <w:fldChar w:fldCharType="separate"/>
      </w:r>
      <w:r w:rsidR="009D04BF">
        <w:rPr>
          <w:noProof/>
        </w:rPr>
        <w:t>(Souissi et al., 2021)</w:t>
      </w:r>
      <w:r w:rsidR="009D04BF">
        <w:fldChar w:fldCharType="end"/>
      </w:r>
      <w:r w:rsidR="009D04BF">
        <w:t>. CME occurrence is described as secondary to inflammatory disruption of the blood–retinal barrier. Corneal edema usually resolve</w:t>
      </w:r>
      <w:r w:rsidR="00C04E2A">
        <w:t>s</w:t>
      </w:r>
      <w:r w:rsidR="009D04BF">
        <w:t xml:space="preserve"> with topical steroid treatment </w:t>
      </w:r>
      <w:r w:rsidR="002C381E">
        <w:fldChar w:fldCharType="begin"/>
      </w:r>
      <w:r w:rsidR="002C381E">
        <w:instrText xml:space="preserve"> ADDIN ZOTERO_ITEM CSL_CITATION {"citationID":"26MGuC6C","properties":{"formattedCitation":"(Souissi et al., 2021)","plainCitation":"(Souissi et al., 2021)","noteIndex":0},"citationItems":[{"id":1714,"uris":["http://zotero.org/users/15573016/items/PM3EIRD7"],"itemData":{"id":1714,"type":"article-journal","abstract":"Abstract\n            \n              Purpose\n              Continuous‐wave cyclophotocoagulation (CW‐CPC) is often preferred to medical and surgical treatments for managing refractory glaucoma. This review summarizes diode CW‐CPC indications, history, histopathology, methods, efficacy and safety. It also provides an overview of the latest data available on micropulse transscleral laser treatment (MP‐TLT) that uses repetitive micropulses of diode laser energy in an off‐and‐on cyclical fashion.\n            \n            \n              Methods\n              A literature review was conducted on transscleral CW‐CPC (CW‐TSCPC), endoscopic CPC (ECP) and MP‐TLT. Relevant series of adult and paediatric patients were included for assessing the procedures.\n            \n            \n              Results\n              Regarding CW‐TCPC, highly variable success rates are reported in the literature, depending on the definition of success, type of underlying glaucoma, energy settings, follow‐up duration and retreatment rates. CW‐CPC often needs to be repeated, especially in paediatric patients. CW‐CPC exposes to risks of inflammation and chronic ocular hypotony or phthisis with irreversible visual loss. CW‐TSCPC has mainly been used in very severe forms of glaucoma, in painful eyes with limited visual potential or after filtering surgery failure. Published data on ECP are more limited but overall good success rates have been reported. Through the direct visualization of the targeted ciliary body in anatomically abnormal eyes, ECP is the preferred surgical procedure in paediatric refractory glaucoma. Complication rates are relatively low after ECP; however, large studies with long‐term follow‐up are needed. ECP may be used in difficult, refractory cases, but it is often used earlier when combined with cataract surgery. Despite limited data on the exact mechanism of action of MP‐TLT and a lack of standardization of laser settings, the first data from heterogeneous case series shows that it has a similar efficacy and a better safety profile compared to CW‐TSCPC in the medium term.\n            \n            \n              Conclusion\n              Although they may lead to sight‐threatening complications, both CW‐TSCPC and ECP seem effective. ECP appears to be superior to CW‐TSCPC in paediatric refractory glaucoma. Unlike ECP combined with cataract surgery, evidence supporting a wider use of CW‐TSCPC and MP‐TLT in earlier stages of neuropathy is lacking. While it now appears that the safety profile of MP‐TLT is superior to that of CW‐CPC, robust prospective comparative studies including homogeneous and well‐defined cohorts of patients are still needed to confirm an at least comparable efficacy in the long term.","container-title":"Acta Ophthalmologica","DOI":"10.1111/aos.14661","ISSN":"1755-375X, 1755-3768","issue":"5","journalAbbreviation":"Acta Ophthalmologica","language":"en","source":"DOI.org (Crossref)","title":"An update on continuous‐wave cyclophotocoagulation (CW‐CPC) and micropulse transscleral laser treatment (MP‐TLT) for adult and paediatric refractory glaucoma","URL":"https://onlinelibrary.wiley.com/doi/10.1111/aos.14661","volume":"99","author":[{"family":"Souissi","given":"Soufiane"},{"family":"Le Mer","given":"Yannick"},{"family":"Metge","given":"Florence"},{"family":"Portmann","given":"Alexandre"},{"family":"Baudouin","given":"Christophe"},{"family":"Labbé","given":"Antoine"},{"family":"Hamard","given":"Pascale"}],"accessed":{"date-parts":[["2025",7,1]]},"issued":{"date-parts":[["2021",8]]},"citation-key":"souissi2021"}}],"schema":"https://github.com/citation-style-language/schema/raw/master/csl-citation.json"} </w:instrText>
      </w:r>
      <w:r w:rsidR="002C381E">
        <w:fldChar w:fldCharType="separate"/>
      </w:r>
      <w:r w:rsidR="002C381E">
        <w:rPr>
          <w:noProof/>
        </w:rPr>
        <w:t>(Souissi et al., 2021)</w:t>
      </w:r>
      <w:r w:rsidR="002C381E">
        <w:fldChar w:fldCharType="end"/>
      </w:r>
      <w:r>
        <w:t>.</w:t>
      </w:r>
      <w:r w:rsidR="009D04BF">
        <w:t xml:space="preserve"> </w:t>
      </w:r>
    </w:p>
    <w:p w14:paraId="22B4C05B" w14:textId="77777777" w:rsidR="00C04E2A" w:rsidRDefault="00C04E2A" w:rsidP="003A0B82">
      <w:pPr>
        <w:spacing w:line="360" w:lineRule="auto"/>
        <w:jc w:val="both"/>
      </w:pPr>
    </w:p>
    <w:p w14:paraId="19B016BD" w14:textId="42F43C63" w:rsidR="009D04BF" w:rsidRDefault="009D04BF" w:rsidP="003A0B82">
      <w:pPr>
        <w:spacing w:line="360" w:lineRule="auto"/>
        <w:jc w:val="both"/>
      </w:pPr>
      <w:r>
        <w:t xml:space="preserve">Late postoperative complications (&gt; 90 days) are primarily influenced by </w:t>
      </w:r>
      <w:r w:rsidR="00C04E2A">
        <w:t xml:space="preserve">the </w:t>
      </w:r>
      <w:r>
        <w:t xml:space="preserve">destruction and inhibition of aqueous humor production. </w:t>
      </w:r>
      <w:r w:rsidR="001861FE">
        <w:t>The most serious</w:t>
      </w:r>
      <w:r>
        <w:t xml:space="preserve"> reported complications</w:t>
      </w:r>
      <w:r w:rsidR="001861FE">
        <w:t xml:space="preserve"> are prolonged hypotony (2–10%)</w:t>
      </w:r>
      <w:r>
        <w:t xml:space="preserve"> leading to </w:t>
      </w:r>
      <w:r w:rsidR="001861FE">
        <w:t>phthisis bulbi (2–10%), and</w:t>
      </w:r>
      <w:r>
        <w:t xml:space="preserve"> eventually</w:t>
      </w:r>
      <w:r w:rsidR="001861FE">
        <w:t xml:space="preserve"> irreversible vision loss (up to 10%) </w:t>
      </w:r>
      <w:r w:rsidR="002C381E">
        <w:fldChar w:fldCharType="begin"/>
      </w:r>
      <w:r w:rsidR="002C381E">
        <w:instrText xml:space="preserve"> ADDIN ZOTERO_ITEM CSL_CITATION {"citationID":"xq1Atcbl","properties":{"formattedCitation":"(Chavez et al., 2025)","plainCitation":"(Chavez et al., 2025)","noteIndex":0},"citationItems":[{"id":1590,"uris":["http://zotero.org/users/15573016/items/G59QEH4R"],"itemData":{"id":1590,"type":"article-journal","abstract":"Précis:\n              Micropulse transscleral laser treatment (MP-TLT) and continuous wave transscleral cyclophotocoagulation demonstrated comparable intraocular pressure across all follow-ups. MP-TLT was associated with significantly lower risks of ocular complications such as hypotony, prolonged inflammation, and phthisis bulbi.\n            \n            \n              Purpose:\n              To compare the efficacy and safety of micropulse transscleral laser treatment (MP-TLT) and continuous wave transscleral cyclophotocoagulation (CW-TSCPC) for the treatment of glaucoma or ocular hypertension.\n            \n            \n              Methods:\n              \n                A systematic search was conducted in PubMed, Cochrane Library, Embase, and ClinicalTrials.gov. Randomized controlled trials (RCTs) or cohort studies comparing MP-TLT and CW-TSCPC were included. Weighted mean differences (MDs) were computed for continuous endpoints and risk ratios (RRs) for binary endpoints, with 95% confidence intervals (CIs). Heterogeneity was assessed with I\n                2\n                statistics. Software R, version 4.4.0, was used for statistical analyses. Subgroup analyses were conducted on glaucoma types.\n              \n            \n            \n              Results:\n              Eleven studies encompassing 1,054 eyes from 986 patients were included, with 47.4% receiving MP-TLT. There were no significant differences in IOP between CW-TSCPC and MP-TLT at one week, one month, three months, six months, 12 months, and 18 months of follow-up. The MP-TLT group required a significantly higher number of hypotensive medications but displayed significantly reduced risks of overall complications, ocular hypotony, prolonged inflammation, and phthisis bulbi compared to CW-TSCPC.\n            \n            \n              Conclusion:\n              MP-TLT and CW-TSCPC showed similar efficacy in IOP control. However, MP-TLT demonstrated a greater safety profile, suggesting its potential suitability for patients requiring repeat interventions or those with lower tolerance for ocular complications.","container-title":"Journal of Glaucoma","DOI":"10.1097/IJG.0000000000002583","ISSN":"1057-0829, 1536-481X","language":"en","source":"DOI.org (Crossref)","title":"Micropulse Transscleral Laser Treatment vs. Continuous Wave Transscleral Cyclophotocoagulation for the Treatment of Glaucoma or Ocular Hypertension: A Meta-Analysis","title-short":"Micropulse Transscleral Laser Treatment vs. Continuous Wave Transscleral Cyclophotocoagulation for the Treatment of Glaucoma or Ocular Hypertension","URL":"https://journals.lww.com/10.1097/IJG.0000000000002583","author":[{"family":"Chavez","given":"Matheus Pedrotti"},{"family":"Guedes","given":"Guilherme Barroso"},{"family":"Pasqualotto","given":"Eric"},{"family":"De Almeida","given":"Izabela Negrão Frota"},{"family":"Lopes","given":"Lucca Moreira"},{"family":"Prata","given":"Tiago Santos"},{"family":"De Souza","given":"Tiago Tomaz"}],"accessed":{"date-parts":[["2025",6,30]]},"issued":{"date-parts":[["2025",4,29]]},"citation-key":"chavez2025"}}],"schema":"https://github.com/citation-style-language/schema/raw/master/csl-citation.json"} </w:instrText>
      </w:r>
      <w:r w:rsidR="002C381E">
        <w:fldChar w:fldCharType="separate"/>
      </w:r>
      <w:r w:rsidR="002C381E">
        <w:rPr>
          <w:noProof/>
        </w:rPr>
        <w:t>(Chavez et al., 2025)</w:t>
      </w:r>
      <w:r w:rsidR="002C381E">
        <w:fldChar w:fldCharType="end"/>
      </w:r>
      <w:r w:rsidR="001861FE">
        <w:t xml:space="preserve">. </w:t>
      </w:r>
      <w:r>
        <w:t xml:space="preserve">All parts of this sequel are linked to the hypotony </w:t>
      </w:r>
      <w:r>
        <w:lastRenderedPageBreak/>
        <w:t xml:space="preserve">caused by ciliary body atrophy. Persistent, prolonged hypotony can further cause secondary ciliochoroidal effusion and retinal folds </w:t>
      </w:r>
      <w:r>
        <w:fldChar w:fldCharType="begin"/>
      </w:r>
      <w:r>
        <w:instrText xml:space="preserve"> ADDIN ZOTERO_ITEM CSL_CITATION {"citationID":"xq1Atcbl","properties":{"formattedCitation":"(Chavez et al., 2025)","plainCitation":"(Chavez et al., 2025)","noteIndex":0},"citationItems":[{"id":1590,"uris":["http://zotero.org/users/15573016/items/G59QEH4R"],"itemData":{"id":1590,"type":"article-journal","abstract":"Précis:\n              Micropulse transscleral laser treatment (MP-TLT) and continuous wave transscleral cyclophotocoagulation demonstrated comparable intraocular pressure across all follow-ups. MP-TLT was associated with significantly lower risks of ocular complications such as hypotony, prolonged inflammation, and phthisis bulbi.\n            \n            \n              Purpose:\n              To compare the efficacy and safety of micropulse transscleral laser treatment (MP-TLT) and continuous wave transscleral cyclophotocoagulation (CW-TSCPC) for the treatment of glaucoma or ocular hypertension.\n            \n            \n              Methods:\n              \n                A systematic search was conducted in PubMed, Cochrane Library, Embase, and ClinicalTrials.gov. Randomized controlled trials (RCTs) or cohort studies comparing MP-TLT and CW-TSCPC were included. Weighted mean differences (MDs) were computed for continuous endpoints and risk ratios (RRs) for binary endpoints, with 95% confidence intervals (CIs). Heterogeneity was assessed with I\n                2\n                statistics. Software R, version 4.4.0, was used for statistical analyses. Subgroup analyses were conducted on glaucoma types.\n              \n            \n            \n              Results:\n              Eleven studies encompassing 1,054 eyes from 986 patients were included, with 47.4% receiving MP-TLT. There were no significant differences in IOP between CW-TSCPC and MP-TLT at one week, one month, three months, six months, 12 months, and 18 months of follow-up. The MP-TLT group required a significantly higher number of hypotensive medications but displayed significantly reduced risks of overall complications, ocular hypotony, prolonged inflammation, and phthisis bulbi compared to CW-TSCPC.\n            \n            \n              Conclusion:\n              MP-TLT and CW-TSCPC showed similar efficacy in IOP control. However, MP-TLT demonstrated a greater safety profile, suggesting its potential suitability for patients requiring repeat interventions or those with lower tolerance for ocular complications.","container-title":"Journal of Glaucoma","DOI":"10.1097/IJG.0000000000002583","ISSN":"1057-0829, 1536-481X","language":"en","source":"DOI.org (Crossref)","title":"Micropulse Transscleral Laser Treatment vs. Continuous Wave Transscleral Cyclophotocoagulation for the Treatment of Glaucoma or Ocular Hypertension: A Meta-Analysis","title-short":"Micropulse Transscleral Laser Treatment vs. Continuous Wave Transscleral Cyclophotocoagulation for the Treatment of Glaucoma or Ocular Hypertension","URL":"https://journals.lww.com/10.1097/IJG.0000000000002583","author":[{"family":"Chavez","given":"Matheus Pedrotti"},{"family":"Guedes","given":"Guilherme Barroso"},{"family":"Pasqualotto","given":"Eric"},{"family":"De Almeida","given":"Izabela Negrão Frota"},{"family":"Lopes","given":"Lucca Moreira"},{"family":"Prata","given":"Tiago Santos"},{"family":"De Souza","given":"Tiago Tomaz"}],"accessed":{"date-parts":[["2025",6,30]]},"issued":{"date-parts":[["2025",4,29]]},"citation-key":"chavez2025"}}],"schema":"https://github.com/citation-style-language/schema/raw/master/csl-citation.json"} </w:instrText>
      </w:r>
      <w:r>
        <w:fldChar w:fldCharType="separate"/>
      </w:r>
      <w:r>
        <w:rPr>
          <w:noProof/>
        </w:rPr>
        <w:t>(Chavez et al., 2025)</w:t>
      </w:r>
      <w:r>
        <w:fldChar w:fldCharType="end"/>
      </w:r>
      <w:r>
        <w:t xml:space="preserve">. Interestingly, after MP-TSCPC, the incidence of phtisis bulbi was reported to be &lt;1%. This can be explained by the </w:t>
      </w:r>
      <w:r w:rsidR="00164641">
        <w:t>reduc</w:t>
      </w:r>
      <w:r>
        <w:t xml:space="preserve">ed extent of tissue ablation, </w:t>
      </w:r>
      <w:r w:rsidR="00164641">
        <w:t>which prevents</w:t>
      </w:r>
      <w:r>
        <w:t xml:space="preserve"> uncontrolled IOP reduction.</w:t>
      </w:r>
    </w:p>
    <w:p w14:paraId="3609E218" w14:textId="77777777" w:rsidR="00C04E2A" w:rsidRDefault="00C04E2A" w:rsidP="003A0B82">
      <w:pPr>
        <w:spacing w:line="360" w:lineRule="auto"/>
        <w:jc w:val="both"/>
      </w:pPr>
    </w:p>
    <w:p w14:paraId="7F27C3B6" w14:textId="2C953B0C" w:rsidR="009061B6" w:rsidRDefault="001861FE" w:rsidP="003A0B82">
      <w:pPr>
        <w:spacing w:line="360" w:lineRule="auto"/>
        <w:jc w:val="both"/>
      </w:pPr>
      <w:r>
        <w:t xml:space="preserve">In summary, postoperative complications following cyclodestructive surgery </w:t>
      </w:r>
      <w:r w:rsidR="009D04BF">
        <w:t>are linked</w:t>
      </w:r>
      <w:r>
        <w:t xml:space="preserve"> primarily </w:t>
      </w:r>
      <w:r w:rsidR="009D04BF">
        <w:t>to</w:t>
      </w:r>
      <w:r>
        <w:t xml:space="preserve"> the energy delivery profile</w:t>
      </w:r>
      <w:r w:rsidR="009D04BF">
        <w:t xml:space="preserve"> of the method used</w:t>
      </w:r>
      <w:r>
        <w:t>. Continuous-wave TS-CPC carries a high risk of irreversible structural</w:t>
      </w:r>
      <w:r w:rsidR="009D04BF">
        <w:t xml:space="preserve"> ciliary</w:t>
      </w:r>
      <w:r>
        <w:t xml:space="preserve"> atrophy </w:t>
      </w:r>
      <w:r w:rsidR="009D04BF">
        <w:t xml:space="preserve">with higher reported rates of long-term hypotony. </w:t>
      </w:r>
      <w:r w:rsidR="00C04E2A">
        <w:t>M</w:t>
      </w:r>
      <w:r>
        <w:t>icropulse</w:t>
      </w:r>
      <w:r w:rsidR="009D04BF">
        <w:t xml:space="preserve"> TS-CPC shows </w:t>
      </w:r>
      <w:r w:rsidR="00164641">
        <w:t xml:space="preserve">a tendency </w:t>
      </w:r>
      <w:r w:rsidR="009D04BF">
        <w:t xml:space="preserve">to </w:t>
      </w:r>
      <w:r>
        <w:t>minimize collateral injury</w:t>
      </w:r>
      <w:r w:rsidR="009D04BF">
        <w:t xml:space="preserve">, </w:t>
      </w:r>
      <w:r w:rsidR="00164641">
        <w:t>reflected</w:t>
      </w:r>
      <w:r w:rsidR="009D04BF">
        <w:t xml:space="preserve"> in lower rates of postoperative hypotony and </w:t>
      </w:r>
      <w:r w:rsidR="00164641">
        <w:t>progression to vision-threatening complications</w:t>
      </w:r>
      <w:r>
        <w:t xml:space="preserve">. </w:t>
      </w:r>
      <w:r w:rsidR="00164641">
        <w:t>Similar to other surgical modalities, e</w:t>
      </w:r>
      <w:r>
        <w:t xml:space="preserve">arly </w:t>
      </w:r>
      <w:r w:rsidR="00164641">
        <w:t>postoperative complications</w:t>
      </w:r>
      <w:r w:rsidR="00C04E2A">
        <w:t>,</w:t>
      </w:r>
      <w:r w:rsidR="00164641">
        <w:t xml:space="preserve"> </w:t>
      </w:r>
      <w:r w:rsidR="00C04E2A">
        <w:t>such as</w:t>
      </w:r>
      <w:r w:rsidR="00164641">
        <w:t xml:space="preserve"> ocular </w:t>
      </w:r>
      <w:r>
        <w:t xml:space="preserve">inflammation </w:t>
      </w:r>
      <w:r w:rsidR="00164641">
        <w:t xml:space="preserve">or </w:t>
      </w:r>
      <w:r>
        <w:t>transient hypotony</w:t>
      </w:r>
      <w:r w:rsidR="00C04E2A">
        <w:t>,</w:t>
      </w:r>
      <w:r w:rsidR="00164641">
        <w:t xml:space="preserve"> are reversible and self-limited. On the contrary, late uncontrolled complications manifest as irreversible, vision-threatening complications</w:t>
      </w:r>
      <w:r>
        <w:t>.</w:t>
      </w:r>
      <w:r w:rsidR="00164641">
        <w:t xml:space="preserve"> </w:t>
      </w:r>
      <w:r>
        <w:t>The</w:t>
      </w:r>
      <w:r w:rsidR="00164641">
        <w:t xml:space="preserve"> generally lower rates of vision-threatening complications reported </w:t>
      </w:r>
      <w:r w:rsidR="00C04E2A">
        <w:t>suggest that</w:t>
      </w:r>
      <w:r w:rsidR="00164641">
        <w:t xml:space="preserve"> </w:t>
      </w:r>
      <w:r>
        <w:t>micropulse</w:t>
      </w:r>
      <w:r w:rsidR="00164641">
        <w:t xml:space="preserve"> TS-CPC </w:t>
      </w:r>
      <w:r w:rsidR="00C04E2A">
        <w:t xml:space="preserve">is </w:t>
      </w:r>
      <w:r w:rsidR="00164641">
        <w:t>a safer surgical technique.</w:t>
      </w:r>
    </w:p>
    <w:p w14:paraId="0D66034B" w14:textId="77777777" w:rsidR="008C5405" w:rsidRPr="008631B5" w:rsidRDefault="008C5405" w:rsidP="003A0B82">
      <w:pPr>
        <w:spacing w:line="360" w:lineRule="auto"/>
      </w:pPr>
    </w:p>
    <w:p w14:paraId="4BE89579" w14:textId="171CB56A" w:rsidR="00DA40C6" w:rsidRDefault="00AF3007" w:rsidP="003A0B82">
      <w:pPr>
        <w:pStyle w:val="Heading1"/>
        <w:ind w:right="0"/>
      </w:pPr>
      <w:bookmarkStart w:id="37" w:name="_Toc213182582"/>
      <w:r>
        <w:t>Discussion</w:t>
      </w:r>
      <w:bookmarkEnd w:id="37"/>
    </w:p>
    <w:p w14:paraId="187AC2F4" w14:textId="041B6057" w:rsidR="00683CB2" w:rsidRDefault="00683CB2" w:rsidP="003A0B82">
      <w:pPr>
        <w:spacing w:line="360" w:lineRule="auto"/>
        <w:jc w:val="both"/>
      </w:pPr>
      <w:r>
        <w:rPr>
          <w:rStyle w:val="Strong"/>
          <w:b w:val="0"/>
          <w:bCs w:val="0"/>
          <w:color w:val="000000"/>
        </w:rPr>
        <w:t>Postoperative complications</w:t>
      </w:r>
      <w:r w:rsidRPr="005663D3">
        <w:rPr>
          <w:rStyle w:val="Strong"/>
          <w:b w:val="0"/>
          <w:bCs w:val="0"/>
          <w:color w:val="000000"/>
        </w:rPr>
        <w:t xml:space="preserve"> </w:t>
      </w:r>
      <w:r>
        <w:rPr>
          <w:rStyle w:val="Strong"/>
          <w:b w:val="0"/>
          <w:bCs w:val="0"/>
          <w:color w:val="000000"/>
        </w:rPr>
        <w:t>across</w:t>
      </w:r>
      <w:r>
        <w:t xml:space="preserve"> different surgical modalities were found to be interestingly linked to common pathophysiological mechanisms. </w:t>
      </w:r>
      <w:r w:rsidR="00E0471C">
        <w:t>G</w:t>
      </w:r>
      <w:r>
        <w:t>laucoma surgeries share the common goal of lowering IOP and establishing long-term IOP control</w:t>
      </w:r>
      <w:r w:rsidR="00E0471C">
        <w:t>;</w:t>
      </w:r>
      <w:r>
        <w:t xml:space="preserve"> </w:t>
      </w:r>
      <w:r w:rsidR="00E0471C">
        <w:t xml:space="preserve">all </w:t>
      </w:r>
      <w:r>
        <w:t xml:space="preserve">surgical approaches alter </w:t>
      </w:r>
      <w:r w:rsidR="00E0471C">
        <w:t xml:space="preserve">either </w:t>
      </w:r>
      <w:r>
        <w:t xml:space="preserve">the production or outflow of aqueous humour. Therefore, similar complications can be observed after </w:t>
      </w:r>
      <w:r w:rsidR="000F000F">
        <w:t>unlike</w:t>
      </w:r>
      <w:r>
        <w:t xml:space="preserve"> surgical modalities. </w:t>
      </w:r>
      <w:r w:rsidR="00E0471C">
        <w:t>Common</w:t>
      </w:r>
      <w:r>
        <w:t xml:space="preserve"> postoperative complications </w:t>
      </w:r>
      <w:r w:rsidR="008C5405">
        <w:t>were</w:t>
      </w:r>
      <w:r>
        <w:t xml:space="preserve"> hyphema, pressure spikes, hypotony, and its long-term sequelae. Inciden</w:t>
      </w:r>
      <w:r w:rsidR="007824B8">
        <w:t>t</w:t>
      </w:r>
      <w:r>
        <w:t>s of complications depended primarily on the mechanism of alteration of aqueous dynamics (physiologic outflow vs. creating a bypass/shunt vs. inhibiting production), the manipulated anatomical location and function of the targeted tissue (angle, subconjunctival space, ciliary body), and the extent of thermal/mechanical injury.</w:t>
      </w:r>
    </w:p>
    <w:p w14:paraId="457EE1FC" w14:textId="77777777" w:rsidR="000A24E2" w:rsidRDefault="000A24E2" w:rsidP="003A0B82">
      <w:pPr>
        <w:spacing w:line="360" w:lineRule="auto"/>
        <w:ind w:left="425"/>
      </w:pPr>
    </w:p>
    <w:p w14:paraId="06E4C13E" w14:textId="4582C9A7" w:rsidR="001E4BC8" w:rsidRDefault="001E4BC8" w:rsidP="003A0B82">
      <w:pPr>
        <w:pStyle w:val="Heading2"/>
      </w:pPr>
      <w:bookmarkStart w:id="38" w:name="_Toc213182583"/>
      <w:r>
        <w:t>Comparative outcomes</w:t>
      </w:r>
      <w:bookmarkEnd w:id="38"/>
    </w:p>
    <w:p w14:paraId="0CDD6968" w14:textId="77801E5C" w:rsidR="00D3424B" w:rsidRDefault="001E4BC8" w:rsidP="002747E6">
      <w:pPr>
        <w:spacing w:line="360" w:lineRule="auto"/>
        <w:jc w:val="both"/>
      </w:pPr>
      <w:r>
        <w:t>Laser</w:t>
      </w:r>
      <w:r>
        <w:rPr>
          <w:rStyle w:val="apple-converted-space"/>
          <w:color w:val="0E101A"/>
        </w:rPr>
        <w:t> </w:t>
      </w:r>
      <w:r>
        <w:t>trabeculop</w:t>
      </w:r>
      <w:r w:rsidR="00E0471C">
        <w:t>l</w:t>
      </w:r>
      <w:r>
        <w:t>asties </w:t>
      </w:r>
      <w:r w:rsidR="000F000F">
        <w:t>have been shown to balance an effective</w:t>
      </w:r>
      <w:r>
        <w:t xml:space="preserve"> IOP reduction with a lower risk of postoperative complications.</w:t>
      </w:r>
      <w:r>
        <w:rPr>
          <w:rStyle w:val="apple-converted-space"/>
          <w:color w:val="0E101A"/>
        </w:rPr>
        <w:t> </w:t>
      </w:r>
      <w:r>
        <w:t xml:space="preserve">SLT’s selective photothermolysis </w:t>
      </w:r>
      <w:r w:rsidR="000F000F">
        <w:t>primarily caused early, self-limited complications, such as discomfort/blur/hyperemia (~34%),</w:t>
      </w:r>
      <w:r>
        <w:t xml:space="preserve"> and rare IOP spikes (~1.7%)</w:t>
      </w:r>
      <w:r w:rsidR="00C11781">
        <w:t xml:space="preserve"> </w:t>
      </w:r>
      <w:r w:rsidR="00C11781">
        <w:fldChar w:fldCharType="begin"/>
      </w:r>
      <w:r w:rsidR="00C11781">
        <w:instrText xml:space="preserve"> ADDIN ZOTERO_ITEM CSL_CITATION {"citationID":"YuOMCu5f","properties":{"formattedCitation":"(Gazzard et al., 2019)","plainCitation":"(Gazzard et al., 2019)","noteIndex":0},"citationItems":[{"id":412,"uris":["http://zotero.org/users/15573016/items/TKBZQZ6I"],"itemData":{"id":412,"type":"article-journal","container-title":"The Lancet","DOI":"10.1016/S0140-6736(18)32213-X","ISSN":"01406736","issue":"10180","journalAbbreviation":"The Lancet","language":"en","page":"1505-1516","source":"DOI.org (Crossref)","title":"Selective laser trabeculoplasty versus eye drops for first-line treatment of ocular hypertension and glaucoma (LiGHT): a multicentre randomised controlled trial","title-short":"Selective laser trabeculoplasty versus eye drops for first-line treatment of ocular hypertension and glaucoma (LiGHT)","URL":"https://linkinghub.elsevier.com/retrieve/pii/S014067361832213X","volume":"393","author":[{"family":"Gazzard","given":"Gus"},{"family":"Konstantakopoulou","given":"Evgenia"},{"family":"Garway-Heath","given":"David"},{"family":"Garg","given":"Anurag"},{"family":"Vickerstaff","given":"Victoria"},{"family":"Hunter","given":"Rachael"},{"family":"Ambler","given":"Gareth"},{"family":"Bunce","given":"Catey"},{"family":"Wormald","given":"Richard"},{"family":"Nathwani","given":"Neil"},{"family":"Barton","given":"Keith"},{"family":"Rubin","given":"Gary"},{"family":"Buszewicz","given":"Marta"},{"family":"Ambler","given":"Gareth"},{"family":"Barton","given":"Keith"},{"family":"Bourne","given":"Rupert"},{"family":"Broadway","given":"David"},{"family":"Bunce","given":"Catey"},{"family":"Buszewicz","given":"Marta"},{"family":"Davis","given":"Amanda"},{"family":"Garg","given":"Anurag"},{"family":"Garway-Heath","given":"David"},{"family":"Gazzard","given":"Gus"},{"family":"Hunter","given":"Rachael"},{"family":"Jayaram","given":"Hari"},{"family":"Jiang","given":"Yuzhen"},{"family":"Konstantakopoulou","given":"Evgenia"},{"family":"Lim","given":"Sheng"},{"family":"Liput","given":"Joanna"},{"family":"Manners","given":"Timothy"},{"family":"Morris","given":"Stephen"},{"family":"Nathwani","given":"Neil"},{"family":"Rubin","given":"Gary"},{"family":"Strouthidis","given":"Nicholas"},{"family":"Vickerstaff","given":"Victoria"},{"family":"Wilson","given":"Sarah"},{"family":"Wormald","given":"Richard"},{"family":"Zhu","given":"Haogang"}],"accessed":{"date-parts":[["2025",2,5]]},"issued":{"date-parts":[["2019",4]]},"citation-key":"gazzard2019"}}],"schema":"https://github.com/citation-style-language/schema/raw/master/csl-citation.json"} </w:instrText>
      </w:r>
      <w:r w:rsidR="00C11781">
        <w:fldChar w:fldCharType="separate"/>
      </w:r>
      <w:r w:rsidR="00C11781">
        <w:rPr>
          <w:noProof/>
        </w:rPr>
        <w:t>(Gazzard et al., 2019)</w:t>
      </w:r>
      <w:r w:rsidR="00C11781">
        <w:fldChar w:fldCharType="end"/>
      </w:r>
      <w:r>
        <w:t>.</w:t>
      </w:r>
      <w:r w:rsidR="000A24E2">
        <w:t xml:space="preserve"> </w:t>
      </w:r>
      <w:r>
        <w:t xml:space="preserve">Late, vision-threatening events </w:t>
      </w:r>
      <w:r w:rsidR="000F000F">
        <w:t xml:space="preserve">were </w:t>
      </w:r>
      <w:r>
        <w:t xml:space="preserve">uncommon. ALT’s higher energy thermal coagulation </w:t>
      </w:r>
      <w:r w:rsidR="000F000F">
        <w:t xml:space="preserve">manifested in an </w:t>
      </w:r>
      <w:r>
        <w:t>increase</w:t>
      </w:r>
      <w:r w:rsidR="000F000F">
        <w:t>d</w:t>
      </w:r>
      <w:r>
        <w:t xml:space="preserve"> likelihood of early postoperative IOP </w:t>
      </w:r>
      <w:r>
        <w:lastRenderedPageBreak/>
        <w:t>spikes (12%) and late PAS (32%) formation</w:t>
      </w:r>
      <w:r w:rsidR="00C11781">
        <w:t xml:space="preserve"> </w:t>
      </w:r>
      <w:r w:rsidR="00C11781">
        <w:fldChar w:fldCharType="begin"/>
      </w:r>
      <w:r w:rsidR="00C11781">
        <w:instrText xml:space="preserve"> ADDIN ZOTERO_ITEM CSL_CITATION {"citationID":"jZLC0ZQg","properties":{"formattedCitation":"(Feldman et al., 1991; Rolim-de-Moura et al., 2022)","plainCitation":"(Feldman et al., 1991; Rolim-de-Moura et al., 2022)","noteIndex":0},"citationItems":[{"id":1762,"uris":["http://zotero.org/users/15573016/items/72V3ICYW"],"itemData":{"id":1762,"type":"article-journal","container-title":"Ophthalmology","DOI":"10.1016/S0161-6420(91)32176-6","ISSN":"01616420","issue":"7","journalAbbreviation":"Ophthalmology","language":"en","license":"https://www.elsevier.com/tdm/userlicense/1.0/","page":"1061-1065","source":"DOI.org (Crossref)","title":"Long-term Efficacy of Repeat Argon Laser Trabeculoplasty","URL":"https://linkinghub.elsevier.com/retrieve/pii/S0161642091321766","volume":"98","author":[{"family":"Feldman","given":"Robert M."},{"family":"Katz","given":"L. Jay"},{"family":"Spaeth","given":"George L."},{"family":"Crapotta","given":"Joseph A."},{"family":"Fahmy","given":"Iman A."},{"family":"Ali","given":"Moones A."}],"accessed":{"date-parts":[["2025",7,1]]},"issued":{"date-parts":[["1991",7]]},"citation-key":"feldman1991"}},{"id":1766,"uris":["http://zotero.org/users/15573016/items/MX5QKHQP"],"itemData":{"id":1766,"type":"article-journal","container-title":"Cochrane Database of Systematic Reviews","DOI":"10.1002/14651858.CD003919.pub3","ISSN":"14651858","issue":"8","language":"en","source":"DOI.org (Crossref)","title":"Laser trabeculoplasty for open-angle glaucoma and ocular hypertension","URL":"http://doi.wiley.com/10.1002/14651858.CD003919.pub3","volume":"2022","editor":[{"literal":"Cochrane Eyes and Vision Group"}],"author":[{"family":"Rolim-de-Moura","given":"Christiane R"},{"family":"Paranhos Jr","given":"Augusto"},{"family":"Loutfi","given":"Mohamed"},{"family":"Burton","given":"David"},{"family":"Wormald","given":"Richard"},{"family":"Evans","given":"Jennifer R"}],"accessed":{"date-parts":[["2025",7,1]]},"issued":{"date-parts":[["2022",8,9]]},"citation-key":"rolim-de-moura2022a"}}],"schema":"https://github.com/citation-style-language/schema/raw/master/csl-citation.json"} </w:instrText>
      </w:r>
      <w:r w:rsidR="00C11781">
        <w:fldChar w:fldCharType="separate"/>
      </w:r>
      <w:r w:rsidR="00C11781">
        <w:rPr>
          <w:noProof/>
        </w:rPr>
        <w:t>(Feldman et al., 1991; Rolim-de-Moura et al., 2022)</w:t>
      </w:r>
      <w:r w:rsidR="00C11781">
        <w:fldChar w:fldCharType="end"/>
      </w:r>
      <w:r>
        <w:t>. PAS h</w:t>
      </w:r>
      <w:r w:rsidR="00E0471C">
        <w:t>ave</w:t>
      </w:r>
      <w:r>
        <w:rPr>
          <w:rStyle w:val="apple-converted-space"/>
          <w:color w:val="0E101A"/>
        </w:rPr>
        <w:t> </w:t>
      </w:r>
      <w:r>
        <w:t>been rarely reported</w:t>
      </w:r>
      <w:r>
        <w:rPr>
          <w:rStyle w:val="apple-converted-space"/>
          <w:color w:val="0E101A"/>
        </w:rPr>
        <w:t> </w:t>
      </w:r>
      <w:r>
        <w:t>to lead to visual impairment.</w:t>
      </w:r>
      <w:r>
        <w:rPr>
          <w:rStyle w:val="apple-converted-space"/>
          <w:color w:val="0E101A"/>
        </w:rPr>
        <w:t> </w:t>
      </w:r>
      <w:r>
        <w:t>The higher</w:t>
      </w:r>
      <w:r>
        <w:rPr>
          <w:rStyle w:val="apple-converted-space"/>
          <w:color w:val="0E101A"/>
        </w:rPr>
        <w:t> </w:t>
      </w:r>
      <w:r>
        <w:t>extent of angle scarring after ALT</w:t>
      </w:r>
      <w:r w:rsidR="000F000F">
        <w:t xml:space="preserve"> diminished the success in</w:t>
      </w:r>
      <w:r>
        <w:rPr>
          <w:rStyle w:val="apple-converted-space"/>
          <w:color w:val="0E101A"/>
        </w:rPr>
        <w:t> </w:t>
      </w:r>
      <w:r>
        <w:t>repeated</w:t>
      </w:r>
      <w:r>
        <w:rPr>
          <w:rStyle w:val="apple-converted-space"/>
          <w:color w:val="0E101A"/>
        </w:rPr>
        <w:t> </w:t>
      </w:r>
      <w:r>
        <w:t>procedures.</w:t>
      </w:r>
      <w:r>
        <w:rPr>
          <w:rStyle w:val="apple-converted-space"/>
          <w:color w:val="0E101A"/>
        </w:rPr>
        <w:t> </w:t>
      </w:r>
      <w:r>
        <w:t xml:space="preserve">The primary transient and self-limiting complications in both laser trabeculoplasties make them a </w:t>
      </w:r>
      <w:r w:rsidR="000F000F">
        <w:t xml:space="preserve">generally </w:t>
      </w:r>
      <w:r>
        <w:t>safe, first-line treatment modality for mild-to-moderate POAG</w:t>
      </w:r>
      <w:r w:rsidR="00C11781">
        <w:t xml:space="preserve"> </w:t>
      </w:r>
      <w:r w:rsidR="00C11781">
        <w:fldChar w:fldCharType="begin"/>
      </w:r>
      <w:r w:rsidR="00C11781">
        <w:instrText xml:space="preserve"> ADDIN ZOTERO_ITEM CSL_CITATION {"citationID":"5hjO3Vlc","properties":{"formattedCitation":"(Gedde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rsidR="00C11781">
        <w:fldChar w:fldCharType="separate"/>
      </w:r>
      <w:r w:rsidR="00C11781">
        <w:rPr>
          <w:noProof/>
        </w:rPr>
        <w:t>(Gedde et al., 2021b)</w:t>
      </w:r>
      <w:r w:rsidR="00C11781">
        <w:fldChar w:fldCharType="end"/>
      </w:r>
      <w:r>
        <w:t>.</w:t>
      </w:r>
    </w:p>
    <w:p w14:paraId="77A6498D" w14:textId="77777777" w:rsidR="00D3424B" w:rsidRPr="00D3424B" w:rsidRDefault="00D3424B" w:rsidP="003A0B82">
      <w:pPr>
        <w:spacing w:line="360" w:lineRule="auto"/>
        <w:ind w:firstLine="284"/>
        <w:jc w:val="both"/>
      </w:pPr>
    </w:p>
    <w:p w14:paraId="3A239290" w14:textId="0F74C08C" w:rsidR="001E4BC8" w:rsidRDefault="001E4BC8" w:rsidP="003A0B82">
      <w:pPr>
        <w:spacing w:line="360" w:lineRule="auto"/>
        <w:jc w:val="both"/>
      </w:pPr>
      <w:r>
        <w:t>Penetrating surgeries (trabeculectomy, Ahmed, Baerveldt, Molteno) achieve</w:t>
      </w:r>
      <w:r w:rsidR="000F000F">
        <w:t>d</w:t>
      </w:r>
      <w:r>
        <w:t xml:space="preserve"> greater IOP reduction and control than laser trabeculoplasties</w:t>
      </w:r>
      <w:r w:rsidR="000F000F">
        <w:t>.</w:t>
      </w:r>
      <w:r>
        <w:t xml:space="preserve"> </w:t>
      </w:r>
      <w:r w:rsidR="000F000F">
        <w:t xml:space="preserve">This has been reflected in the guidelines, which recommend penetrating surgeries for </w:t>
      </w:r>
      <w:r>
        <w:t>moderate-</w:t>
      </w:r>
      <w:r w:rsidR="000F000F">
        <w:t>to-</w:t>
      </w:r>
      <w:r>
        <w:t>severe POAG</w:t>
      </w:r>
      <w:r w:rsidR="00197A11">
        <w:t xml:space="preserve"> </w:t>
      </w:r>
      <w:r w:rsidR="00616A37">
        <w:fldChar w:fldCharType="begin"/>
      </w:r>
      <w:r w:rsidR="00616A37">
        <w:instrText xml:space="preserve"> ADDIN ZOTERO_ITEM CSL_CITATION {"citationID":"P8NZ8twV","properties":{"formattedCitation":"(Gedde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rsidR="00616A37">
        <w:fldChar w:fldCharType="separate"/>
      </w:r>
      <w:r w:rsidR="00616A37">
        <w:rPr>
          <w:noProof/>
        </w:rPr>
        <w:t>(Gedde et al., 2021b)</w:t>
      </w:r>
      <w:r w:rsidR="00616A37">
        <w:fldChar w:fldCharType="end"/>
      </w:r>
      <w:r>
        <w:t>.</w:t>
      </w:r>
      <w:r>
        <w:rPr>
          <w:rStyle w:val="apple-converted-space"/>
          <w:color w:val="0E101A"/>
        </w:rPr>
        <w:t> </w:t>
      </w:r>
      <w:r w:rsidR="000F000F">
        <w:t>The</w:t>
      </w:r>
      <w:r>
        <w:t xml:space="preserve"> greater invasiveness of trabeculectomy </w:t>
      </w:r>
      <w:r w:rsidR="000B199D">
        <w:t>has been associated with</w:t>
      </w:r>
      <w:r>
        <w:t xml:space="preserve"> more severe postoperative complications. Early hypotony </w:t>
      </w:r>
      <w:r w:rsidR="000B199D">
        <w:t>was</w:t>
      </w:r>
      <w:r w:rsidR="00197A11">
        <w:rPr>
          <w:rStyle w:val="apple-converted-space"/>
          <w:color w:val="0E101A"/>
        </w:rPr>
        <w:t xml:space="preserve"> </w:t>
      </w:r>
      <w:r w:rsidR="000B199D">
        <w:rPr>
          <w:rStyle w:val="apple-converted-space"/>
          <w:color w:val="0E101A"/>
        </w:rPr>
        <w:t xml:space="preserve">a </w:t>
      </w:r>
      <w:r>
        <w:t>common</w:t>
      </w:r>
      <w:r w:rsidR="000B199D">
        <w:t xml:space="preserve">ly </w:t>
      </w:r>
      <w:r w:rsidR="000B199D">
        <w:rPr>
          <w:rStyle w:val="apple-converted-space"/>
          <w:color w:val="0E101A"/>
        </w:rPr>
        <w:t xml:space="preserve">reported </w:t>
      </w:r>
      <w:r>
        <w:t>early postoperative complication (Trab 9%, Ahmed 8%, Baerveldt 17%)</w:t>
      </w:r>
      <w:r w:rsidR="00197A11">
        <w:t xml:space="preserve"> </w:t>
      </w:r>
      <w:bookmarkStart w:id="39" w:name="_Hlk212798593"/>
      <w:r w:rsidR="00C11781">
        <w:fldChar w:fldCharType="begin"/>
      </w:r>
      <w:r w:rsidR="00C11781">
        <w:instrText xml:space="preserve"> ADDIN ZOTERO_ITEM CSL_CITATION {"citationID":"OvryeNuZ","properties":{"formattedCitation":"(Budenz et al., 2011; Gedde, Feuer, Lim, Barton, Goyal, Ahmed, Brandt, &amp; Primary Tube Versus Trabeculectomy Study Group, 2022)","plainCitation":"(Budenz et al., 2011; Gedde, Feuer, Lim, Barton, Goyal, Ahmed, Brandt, &amp; Primary Tube Versus Trabeculectomy Study Group, 2022)","noteIndex":0},"citationItems":[{"id":1471,"uris":["http://zotero.org/users/15573016/items/YU9LGLXA"],"itemData":{"id":1471,"type":"article-journal","abstract":"PURPOSE: To determine the relative efficacy and complications of the Ahmed glaucoma valve (AGV) model FP7 (New World Medical, Ranchos Cucamonga, CA) and the Baerveldt glaucoma implant (BGI) model 101-350 (Abbott Medical Optics, Abbott Park, IL) in refractory glaucoma.\nDESIGN: Multicenter, randomized, controlled clinical trial.\nPARTICIPANTS: Two hundred seventy-six patients, including 143 in the AGV group and 133 in the BGI group.\nMETHODS: Patients 18 to 85 years of age with refractory glaucoma having intraocular pressure (IOP) of 18 mmHg or more in whom an aqueous shunt was planned were randomized to undergo implantation of either an AGV or a BGI.\nMAIN OUTCOME MEASURES: The primary outcome was failure, defined as IOP &gt;21 mmHg or not reduced by 20% from baseline, IOP ≤5 mmHg, reoperation for glaucoma or removal of implant, or loss of light perception vision. Secondary outcomes included mean IOP, visual acuity, use of supplemental medical therapy, and complications.\nRESULTS: Preoperative IOP (mean±standard deviation [SD]) was 31.2±11.2 mmHg in the AGV group and 31.8±12.5 mmHg in the BGI group (P = 0.71). At 1 year, mean±SD IOP was 15.4±5.5 mmHg in the AGV group and 13.2±6.8 mmHg in the BGI group (P = 0.007). The mean±SD number of glaucoma medications was 1.8±1.3 in the AGV group and 1.5±1.4 in the BGI group (P = 0.071). The cumulative probability of failure was 16.4% (standard error [SE], 3.1%) in the AGV group and 14.0% (SE, 3.1%) in the BGI group at 1 year (P = 0.52). More patients experienced early postoperative complications in the BGI group (n = 77; 58%) compared with the AGV group (n = 61; 43%; P = 0.016). Serious postoperative complications associated with reoperation, vision loss of ≥2 Snellen lines, or both occurred in 29 patients (20%) in the AGV group and in 45 patients (34%) in the BGI group (P = 0.014).\nCONCLUSIONS: Although the average IOP after 1 year was slightly higher in patients who received an AGV, there were fewer early and serious postoperative complications associated with the use of the AGV than the BGI.","container-title":"Ophthalmology","DOI":"10.1016/j.ophtha.2010.07.016","ISSN":"1549-4713","issue":"3","journalAbbreviation":"Ophthalmology","language":"eng","note":"PMID: 20932583\nPMCID: PMC3020266","page":"443-452","source":"PubMed","title":"Treatment outcomes in the Ahmed Baerveldt Comparison Study after 1 year of follow-up","volume":"118","author":[{"family":"Budenz","given":"Donald L."},{"family":"Barton","given":"Keith"},{"family":"Feuer","given":"William J."},{"family":"Schiffman","given":"Joyce"},{"family":"Costa","given":"Vital P."},{"family":"Godfrey","given":"David G."},{"family":"Buys","given":"Yvonne M."},{"literal":"Ahmed Baerveldt Comparison Study Group"}],"issued":{"date-parts":[["2011",3]]},"citation-key":"budenz2011"}},{"id":676,"uris":["http://zotero.org/users/15573016/items/ISX77UMR"],"itemData":{"id":676,"type":"article-journal","abstract":"PURPOSE: To describe postoperative complications encountered in the Primary Tube Versus Trabeculectomy (PTVT) Study during 5 years of follow-up.\nDESIGN: Multicenter randomized clinical trial.\nPARTICIPANTS: A total of 242 eyes of 242 patients with medically uncontrolled glaucoma and no previous incisional ocular surgery, including 125 patients in the tube group and 117 patients in the trabeculectomy group.\nMETHODS: Patients were enrolled at 16 clinical centers and randomly assigned to treatment with a tube shunt (350-mm2 Baerveldt glaucoma implant) or trabeculectomy with mitomycin C (MMC, 0.4 mg/ml for 2 minutes).\nMAIN OUTCOME MEASURES: Surgical complications, reoperations for complications, visual acuity, and cataract progression.\nRESULTS: Early postoperative complications occurred in 24 patients (19%) in the tube group and 40 patients (34%) in the trabeculectomy group (P = 0.013). Late postoperative complications developed in 27 patients (22%) in the tube group and 32 patients (27%) in the trabeculectomy group (P = 0.37). Serious complications producing vision loss and/or requiring a reoperation were observed in 3 patients (2%) in the tube group and 9 patients (8%) in the trabeculectomy group (P = 0.11). Cataract progression was seen in 65 patients (52%) in the tube group and 52 patients (44%) in the trabeculectomy group (P = 0.30). Surgical complications were not associated with a higher rate of treatment failure (P = 0.61), vision loss (P = 1.00), or cataract progression (P = 0.77) CONCLUSIONS: A large number of surgical complications were observed in the PTVT Study, but most were transient and self-limited. The incidence of early postoperative complications was higher following trabeculectomy with MMC than with tube shunt surgery. The rates of late postoperative complications, serious complications, and cataract progression were similar with both surgical procedures after 5 years of follow-up. Surgical complications did not increase the risk of treatment failure, vision loss, or cataract progression.","container-title":"Ophthalmology","DOI":"10.1016/j.ophtha.2022.07.004","ISSN":"1549-4713","issue":"12","journalAbbreviation":"Ophthalmology","language":"eng","note":"PMID: 35835336\nPMCID: PMC9691562","page":"1357-1367","source":"PubMed","title":"Postoperative Complications in the Primary Tube Versus Trabeculectomy Study During 5 Years of Follow-up","volume":"129","author":[{"family":"Gedde","given":"Steven J."},{"family":"Feuer","given":"William J."},{"family":"Lim","given":"Kin Sheng"},{"family":"Barton","given":"Keith"},{"family":"Goyal","given":"Saurabh"},{"family":"Ahmed","given":"Iqbal I."},{"family":"Brandt","given":"James D."},{"literal":"Primary Tube Versus Trabeculectomy Study Group"}],"issued":{"date-parts":[["2022",12]]},"citation-key":"gedde2022"}}],"schema":"https://github.com/citation-style-language/schema/raw/master/csl-citation.json"} </w:instrText>
      </w:r>
      <w:r w:rsidR="00C11781">
        <w:fldChar w:fldCharType="separate"/>
      </w:r>
      <w:r w:rsidR="00C11781">
        <w:rPr>
          <w:noProof/>
        </w:rPr>
        <w:t>(Budenz et al., 2011; Gedde, Feuer, Lim, Barton, Goyal, Ahmed, Brandt, &amp; Primary Tube Versus Trabeculectomy Study Group, 2022)</w:t>
      </w:r>
      <w:r w:rsidR="00C11781">
        <w:fldChar w:fldCharType="end"/>
      </w:r>
      <w:bookmarkEnd w:id="39"/>
      <w:r>
        <w:t>.</w:t>
      </w:r>
      <w:r w:rsidR="00E0471C">
        <w:t xml:space="preserve"> </w:t>
      </w:r>
      <w:r w:rsidR="003A0503">
        <w:t>Here, an</w:t>
      </w:r>
      <w:r w:rsidR="00E0471C">
        <w:t xml:space="preserve"> immature capsule/bleb</w:t>
      </w:r>
      <w:r w:rsidR="00E0471C">
        <w:rPr>
          <w:rStyle w:val="apple-converted-space"/>
          <w:color w:val="0E101A"/>
        </w:rPr>
        <w:t> </w:t>
      </w:r>
      <w:r w:rsidR="003A0503">
        <w:rPr>
          <w:rStyle w:val="apple-converted-space"/>
          <w:color w:val="0E101A"/>
        </w:rPr>
        <w:t xml:space="preserve">is created, with </w:t>
      </w:r>
      <w:r w:rsidR="00E0471C">
        <w:t>insufficient</w:t>
      </w:r>
      <w:r w:rsidR="00E0471C">
        <w:rPr>
          <w:rStyle w:val="apple-converted-space"/>
          <w:color w:val="0E101A"/>
        </w:rPr>
        <w:t> </w:t>
      </w:r>
      <w:r w:rsidR="00E0471C">
        <w:t>counterpressure to prevent uncontrolled</w:t>
      </w:r>
      <w:r w:rsidR="00E0471C">
        <w:rPr>
          <w:rStyle w:val="apple-converted-space"/>
          <w:color w:val="0E101A"/>
        </w:rPr>
        <w:t> </w:t>
      </w:r>
      <w:r w:rsidR="00E0471C">
        <w:t>aqueous</w:t>
      </w:r>
      <w:r w:rsidR="00E0471C">
        <w:rPr>
          <w:rStyle w:val="apple-converted-space"/>
          <w:color w:val="0E101A"/>
        </w:rPr>
        <w:t> </w:t>
      </w:r>
      <w:r w:rsidR="00E0471C">
        <w:t>humor outflow</w:t>
      </w:r>
      <w:r w:rsidR="003A0503">
        <w:t>,</w:t>
      </w:r>
      <w:r w:rsidR="00E0471C">
        <w:t xml:space="preserve"> </w:t>
      </w:r>
      <w:r w:rsidR="003A0503">
        <w:t>leading to a pressure disequilibrium, causing overfiltration</w:t>
      </w:r>
      <w:r w:rsidR="00E0471C">
        <w:t>.</w:t>
      </w:r>
      <w:r w:rsidR="00E0471C">
        <w:rPr>
          <w:rStyle w:val="apple-converted-space"/>
          <w:color w:val="0E101A"/>
        </w:rPr>
        <w:t> </w:t>
      </w:r>
      <w:r w:rsidR="00E0471C">
        <w:t xml:space="preserve">As the bleb/capsule matures, this complication usually resolves on its own </w:t>
      </w:r>
      <w:r w:rsidR="00E0471C">
        <w:fldChar w:fldCharType="begin"/>
      </w:r>
      <w:r w:rsidR="00E0471C">
        <w:instrText xml:space="preserve"> ADDIN ZOTERO_ITEM CSL_CITATION {"citationID":"WWXHsqnk","properties":{"formattedCitation":"(Budenz et al., 2011; Gedde, Feuer, Lim, Barton, Goyal, Ahmed, Brandt, &amp; Primary Tube Versus Trabeculectomy Study Group, 2022)","plainCitation":"(Budenz et al., 2011; Gedde, Feuer, Lim, Barton, Goyal, Ahmed, Brandt, &amp; Primary Tube Versus Trabeculectomy Study Group, 2022)","noteIndex":0},"citationItems":[{"id":1471,"uris":["http://zotero.org/users/15573016/items/YU9LGLXA"],"itemData":{"id":1471,"type":"article-journal","abstract":"PURPOSE: To determine the relative efficacy and complications of the Ahmed glaucoma valve (AGV) model FP7 (New World Medical, Ranchos Cucamonga, CA) and the Baerveldt glaucoma implant (BGI) model 101-350 (Abbott Medical Optics, Abbott Park, IL) in refractory glaucoma.\nDESIGN: Multicenter, randomized, controlled clinical trial.\nPARTICIPANTS: Two hundred seventy-six patients, including 143 in the AGV group and 133 in the BGI group.\nMETHODS: Patients 18 to 85 years of age with refractory glaucoma having intraocular pressure (IOP) of 18 mmHg or more in whom an aqueous shunt was planned were randomized to undergo implantation of either an AGV or a BGI.\nMAIN OUTCOME MEASURES: The primary outcome was failure, defined as IOP &gt;21 mmHg or not reduced by 20% from baseline, IOP ≤5 mmHg, reoperation for glaucoma or removal of implant, or loss of light perception vision. Secondary outcomes included mean IOP, visual acuity, use of supplemental medical therapy, and complications.\nRESULTS: Preoperative IOP (mean±standard deviation [SD]) was 31.2±11.2 mmHg in the AGV group and 31.8±12.5 mmHg in the BGI group (P = 0.71). At 1 year, mean±SD IOP was 15.4±5.5 mmHg in the AGV group and 13.2±6.8 mmHg in the BGI group (P = 0.007). The mean±SD number of glaucoma medications was 1.8±1.3 in the AGV group and 1.5±1.4 in the BGI group (P = 0.071). The cumulative probability of failure was 16.4% (standard error [SE], 3.1%) in the AGV group and 14.0% (SE, 3.1%) in the BGI group at 1 year (P = 0.52). More patients experienced early postoperative complications in the BGI group (n = 77; 58%) compared with the AGV group (n = 61; 43%; P = 0.016). Serious postoperative complications associated with reoperation, vision loss of ≥2 Snellen lines, or both occurred in 29 patients (20%) in the AGV group and in 45 patients (34%) in the BGI group (P = 0.014).\nCONCLUSIONS: Although the average IOP after 1 year was slightly higher in patients who received an AGV, there were fewer early and serious postoperative complications associated with the use of the AGV than the BGI.","container-title":"Ophthalmology","DOI":"10.1016/j.ophtha.2010.07.016","ISSN":"1549-4713","issue":"3","journalAbbreviation":"Ophthalmology","language":"eng","note":"PMID: 20932583\nPMCID: PMC3020266","page":"443-452","source":"PubMed","title":"Treatment outcomes in the Ahmed Baerveldt Comparison Study after 1 year of follow-up","volume":"118","author":[{"family":"Budenz","given":"Donald L."},{"family":"Barton","given":"Keith"},{"family":"Feuer","given":"William J."},{"family":"Schiffman","given":"Joyce"},{"family":"Costa","given":"Vital P."},{"family":"Godfrey","given":"David G."},{"family":"Buys","given":"Yvonne M."},{"literal":"Ahmed Baerveldt Comparison Study Group"}],"issued":{"date-parts":[["2011",3]]},"citation-key":"budenz2011"}},{"id":676,"uris":["http://zotero.org/users/15573016/items/ISX77UMR"],"itemData":{"id":676,"type":"article-journal","abstract":"PURPOSE: To describe postoperative complications encountered in the Primary Tube Versus Trabeculectomy (PTVT) Study during 5 years of follow-up.\nDESIGN: Multicenter randomized clinical trial.\nPARTICIPANTS: A total of 242 eyes of 242 patients with medically uncontrolled glaucoma and no previous incisional ocular surgery, including 125 patients in the tube group and 117 patients in the trabeculectomy group.\nMETHODS: Patients were enrolled at 16 clinical centers and randomly assigned to treatment with a tube shunt (350-mm2 Baerveldt glaucoma implant) or trabeculectomy with mitomycin C (MMC, 0.4 mg/ml for 2 minutes).\nMAIN OUTCOME MEASURES: Surgical complications, reoperations for complications, visual acuity, and cataract progression.\nRESULTS: Early postoperative complications occurred in 24 patients (19%) in the tube group and 40 patients (34%) in the trabeculectomy group (P = 0.013). Late postoperative complications developed in 27 patients (22%) in the tube group and 32 patients (27%) in the trabeculectomy group (P = 0.37). Serious complications producing vision loss and/or requiring a reoperation were observed in 3 patients (2%) in the tube group and 9 patients (8%) in the trabeculectomy group (P = 0.11). Cataract progression was seen in 65 patients (52%) in the tube group and 52 patients (44%) in the trabeculectomy group (P = 0.30). Surgical complications were not associated with a higher rate of treatment failure (P = 0.61), vision loss (P = 1.00), or cataract progression (P = 0.77) CONCLUSIONS: A large number of surgical complications were observed in the PTVT Study, but most were transient and self-limited. The incidence of early postoperative complications was higher following trabeculectomy with MMC than with tube shunt surgery. The rates of late postoperative complications, serious complications, and cataract progression were similar with both surgical procedures after 5 years of follow-up. Surgical complications did not increase the risk of treatment failure, vision loss, or cataract progression.","container-title":"Ophthalmology","DOI":"10.1016/j.ophtha.2022.07.004","ISSN":"1549-4713","issue":"12","journalAbbreviation":"Ophthalmology","language":"eng","note":"PMID: 35835336\nPMCID: PMC9691562","page":"1357-1367","source":"PubMed","title":"Postoperative Complications in the Primary Tube Versus Trabeculectomy Study During 5 Years of Follow-up","volume":"129","author":[{"family":"Gedde","given":"Steven J."},{"family":"Feuer","given":"William J."},{"family":"Lim","given":"Kin Sheng"},{"family":"Barton","given":"Keith"},{"family":"Goyal","given":"Saurabh"},{"family":"Ahmed","given":"Iqbal I."},{"family":"Brandt","given":"James D."},{"literal":"Primary Tube Versus Trabeculectomy Study Group"}],"issued":{"date-parts":[["2022",12]]},"citation-key":"gedde2022"}}],"schema":"https://github.com/citation-style-language/schema/raw/master/csl-citation.json"} </w:instrText>
      </w:r>
      <w:r w:rsidR="00E0471C">
        <w:fldChar w:fldCharType="separate"/>
      </w:r>
      <w:r w:rsidR="00E0471C">
        <w:rPr>
          <w:noProof/>
        </w:rPr>
        <w:t>(Budenz et al., 2011; Gedde, Feuer, Lim, Barton, Goyal, Ahmed, Brandt, &amp; Primary Tube Versus Trabeculectomy Study Group, 2022)</w:t>
      </w:r>
      <w:r w:rsidR="00E0471C">
        <w:fldChar w:fldCharType="end"/>
      </w:r>
      <w:r w:rsidR="00E0471C">
        <w:t xml:space="preserve">.  </w:t>
      </w:r>
      <w:r>
        <w:t xml:space="preserve"> </w:t>
      </w:r>
      <w:r w:rsidR="00E0471C">
        <w:t>Hypotony</w:t>
      </w:r>
      <w:r>
        <w:t xml:space="preserve"> </w:t>
      </w:r>
      <w:r w:rsidR="000B199D">
        <w:t xml:space="preserve">can </w:t>
      </w:r>
      <w:r w:rsidR="00E0471C">
        <w:t>result in</w:t>
      </w:r>
      <w:r w:rsidR="00197A11">
        <w:rPr>
          <w:rStyle w:val="apple-converted-space"/>
          <w:color w:val="0E101A"/>
        </w:rPr>
        <w:t xml:space="preserve"> </w:t>
      </w:r>
      <w:r>
        <w:t>flat</w:t>
      </w:r>
      <w:r w:rsidR="00E0471C">
        <w:t>tening of the</w:t>
      </w:r>
      <w:r>
        <w:rPr>
          <w:rStyle w:val="apple-converted-space"/>
          <w:color w:val="0E101A"/>
        </w:rPr>
        <w:t> </w:t>
      </w:r>
      <w:r>
        <w:t>anterior chamber and choroidal effusions</w:t>
      </w:r>
      <w:r w:rsidR="00E0471C">
        <w:t>/detachment</w:t>
      </w:r>
      <w:r>
        <w:t>.</w:t>
      </w:r>
      <w:r w:rsidR="00197A11">
        <w:t xml:space="preserve"> </w:t>
      </w:r>
      <w:r>
        <w:t xml:space="preserve">Late complications </w:t>
      </w:r>
      <w:r w:rsidR="003A0503">
        <w:t xml:space="preserve">reported </w:t>
      </w:r>
      <w:r w:rsidR="000B199D">
        <w:t>were mainly</w:t>
      </w:r>
      <w:r>
        <w:t> cataract progression (Trab 24–44%, Baerveldt 52%), corneal edema/</w:t>
      </w:r>
      <w:r w:rsidR="003A0503">
        <w:t xml:space="preserve"> </w:t>
      </w:r>
      <w:r>
        <w:t>decompensation with tubes (</w:t>
      </w:r>
      <w:r w:rsidR="00197A11">
        <w:t xml:space="preserve">up </w:t>
      </w:r>
      <w:r>
        <w:t>to</w:t>
      </w:r>
      <w:r>
        <w:rPr>
          <w:rStyle w:val="apple-converted-space"/>
          <w:color w:val="0E101A"/>
        </w:rPr>
        <w:t> </w:t>
      </w:r>
      <w:r>
        <w:t>20%), tube exposure (1–5%), and diplopia (≈12%)</w:t>
      </w:r>
      <w:r w:rsidR="00197A11">
        <w:t xml:space="preserve"> </w:t>
      </w:r>
      <w:r w:rsidR="00C11781">
        <w:fldChar w:fldCharType="begin"/>
      </w:r>
      <w:r w:rsidR="00C11781">
        <w:instrText xml:space="preserve"> ADDIN ZOTERO_ITEM CSL_CITATION {"citationID":"6SuzHzuT","properties":{"formattedCitation":"(Budenz et al., 2011; Gedde, Feuer, Lim, Barton, Goyal, Ahmed, Brandt, &amp; Primary Tube Versus Trabeculectomy Study Group, 2022; Molteno, 2011)","plainCitation":"(Budenz et al., 2011; Gedde, Feuer, Lim, Barton, Goyal, Ahmed, Brandt, &amp; Primary Tube Versus Trabeculectomy Study Group, 2022; Molteno, 2011)","noteIndex":0},"citationItems":[{"id":1471,"uris":["http://zotero.org/users/15573016/items/YU9LGLXA"],"itemData":{"id":1471,"type":"article-journal","abstract":"PURPOSE: To determine the relative efficacy and complications of the Ahmed glaucoma valve (AGV) model FP7 (New World Medical, Ranchos Cucamonga, CA) and the Baerveldt glaucoma implant (BGI) model 101-350 (Abbott Medical Optics, Abbott Park, IL) in refractory glaucoma.\nDESIGN: Multicenter, randomized, controlled clinical trial.\nPARTICIPANTS: Two hundred seventy-six patients, including 143 in the AGV group and 133 in the BGI group.\nMETHODS: Patients 18 to 85 years of age with refractory glaucoma having intraocular pressure (IOP) of 18 mmHg or more in whom an aqueous shunt was planned were randomized to undergo implantation of either an AGV or a BGI.\nMAIN OUTCOME MEASURES: The primary outcome was failure, defined as IOP &gt;21 mmHg or not reduced by 20% from baseline, IOP ≤5 mmHg, reoperation for glaucoma or removal of implant, or loss of light perception vision. Secondary outcomes included mean IOP, visual acuity, use of supplemental medical therapy, and complications.\nRESULTS: Preoperative IOP (mean±standard deviation [SD]) was 31.2±11.2 mmHg in the AGV group and 31.8±12.5 mmHg in the BGI group (P = 0.71). At 1 year, mean±SD IOP was 15.4±5.5 mmHg in the AGV group and 13.2±6.8 mmHg in the BGI group (P = 0.007). The mean±SD number of glaucoma medications was 1.8±1.3 in the AGV group and 1.5±1.4 in the BGI group (P = 0.071). The cumulative probability of failure was 16.4% (standard error [SE], 3.1%) in the AGV group and 14.0% (SE, 3.1%) in the BGI group at 1 year (P = 0.52). More patients experienced early postoperative complications in the BGI group (n = 77; 58%) compared with the AGV group (n = 61; 43%; P = 0.016). Serious postoperative complications associated with reoperation, vision loss of ≥2 Snellen lines, or both occurred in 29 patients (20%) in the AGV group and in 45 patients (34%) in the BGI group (P = 0.014).\nCONCLUSIONS: Although the average IOP after 1 year was slightly higher in patients who received an AGV, there were fewer early and serious postoperative complications associated with the use of the AGV than the BGI.","container-title":"Ophthalmology","DOI":"10.1016/j.ophtha.2010.07.016","ISSN":"1549-4713","issue":"3","journalAbbreviation":"Ophthalmology","language":"eng","note":"PMID: 20932583\nPMCID: PMC3020266","page":"443-452","source":"PubMed","title":"Treatment outcomes in the Ahmed Baerveldt Comparison Study after 1 year of follow-up","volume":"118","author":[{"family":"Budenz","given":"Donald L."},{"family":"Barton","given":"Keith"},{"family":"Feuer","given":"William J."},{"family":"Schiffman","given":"Joyce"},{"family":"Costa","given":"Vital P."},{"family":"Godfrey","given":"David G."},{"family":"Buys","given":"Yvonne M."},{"literal":"Ahmed Baerveldt Comparison Study Group"}],"issued":{"date-parts":[["2011",3]]},"citation-key":"budenz2011"}},{"id":676,"uris":["http://zotero.org/users/15573016/items/ISX77UMR"],"itemData":{"id":676,"type":"article-journal","abstract":"PURPOSE: To describe postoperative complications encountered in the Primary Tube Versus Trabeculectomy (PTVT) Study during 5 years of follow-up.\nDESIGN: Multicenter randomized clinical trial.\nPARTICIPANTS: A total of 242 eyes of 242 patients with medically uncontrolled glaucoma and no previous incisional ocular surgery, including 125 patients in the tube group and 117 patients in the trabeculectomy group.\nMETHODS: Patients were enrolled at 16 clinical centers and randomly assigned to treatment with a tube shunt (350-mm2 Baerveldt glaucoma implant) or trabeculectomy with mitomycin C (MMC, 0.4 mg/ml for 2 minutes).\nMAIN OUTCOME MEASURES: Surgical complications, reoperations for complications, visual acuity, and cataract progression.\nRESULTS: Early postoperative complications occurred in 24 patients (19%) in the tube group and 40 patients (34%) in the trabeculectomy group (P = 0.013). Late postoperative complications developed in 27 patients (22%) in the tube group and 32 patients (27%) in the trabeculectomy group (P = 0.37). Serious complications producing vision loss and/or requiring a reoperation were observed in 3 patients (2%) in the tube group and 9 patients (8%) in the trabeculectomy group (P = 0.11). Cataract progression was seen in 65 patients (52%) in the tube group and 52 patients (44%) in the trabeculectomy group (P = 0.30). Surgical complications were not associated with a higher rate of treatment failure (P = 0.61), vision loss (P = 1.00), or cataract progression (P = 0.77) CONCLUSIONS: A large number of surgical complications were observed in the PTVT Study, but most were transient and self-limited. The incidence of early postoperative complications was higher following trabeculectomy with MMC than with tube shunt surgery. The rates of late postoperative complications, serious complications, and cataract progression were similar with both surgical procedures after 5 years of follow-up. Surgical complications did not increase the risk of treatment failure, vision loss, or cataract progression.","container-title":"Ophthalmology","DOI":"10.1016/j.ophtha.2022.07.004","ISSN":"1549-4713","issue":"12","journalAbbreviation":"Ophthalmology","language":"eng","note":"PMID: 35835336\nPMCID: PMC9691562","page":"1357-1367","source":"PubMed","title":"Postoperative Complications in the Primary Tube Versus Trabeculectomy Study During 5 Years of Follow-up","volume":"129","author":[{"family":"Gedde","given":"Steven J."},{"family":"Feuer","given":"William J."},{"family":"Lim","given":"Kin Sheng"},{"family":"Barton","given":"Keith"},{"family":"Goyal","given":"Saurabh"},{"family":"Ahmed","given":"Iqbal I."},{"family":"Brandt","given":"James D."},{"literal":"Primary Tube Versus Trabeculectomy Study Group"}],"issued":{"date-parts":[["2022",12]]},"citation-key":"gedde2022"}},{"id":2000,"uris":["http://zotero.org/users/15573016/items/MSVNC3FW"],"itemData":{"id":2000,"type":"article-journal","container-title":"Archives of Ophthalmology","DOI":"10.1001/archophthalmol.2011.221","ISSN":"0003-9950","issue":"11","journalAbbreviation":"Arch Ophthalmol","language":"en","page":"1444","source":"DOI.org (Crossref)","title":"Long-term Results of Primary Trabeculectomies and Molteno Implants for Primary Open-Angle Glaucoma","URL":"http://archopht.jamanetwork.com/article.aspx?doi=10.1001/archophthalmol.2011.221","volume":"129","author":[{"family":"Molteno","given":"Anthony C. B."}],"accessed":{"date-parts":[["2025",7,7]]},"issued":{"date-parts":[["2011",11,1]]},"citation-key":"molteno2011"}}],"schema":"https://github.com/citation-style-language/schema/raw/master/csl-citation.json"} </w:instrText>
      </w:r>
      <w:r w:rsidR="00C11781">
        <w:fldChar w:fldCharType="separate"/>
      </w:r>
      <w:r w:rsidR="00C11781">
        <w:rPr>
          <w:noProof/>
        </w:rPr>
        <w:t>(Budenz et al., 2011; Gedde, Feuer, Lim, Barton, Goyal, Ahmed, Brandt, &amp; Primary Tube Versus Trabeculectomy Study Group, 2022; Molteno, 2011)</w:t>
      </w:r>
      <w:r w:rsidR="00C11781">
        <w:fldChar w:fldCharType="end"/>
      </w:r>
      <w:r>
        <w:t>.</w:t>
      </w:r>
      <w:r>
        <w:rPr>
          <w:rStyle w:val="apple-converted-space"/>
          <w:color w:val="0E101A"/>
        </w:rPr>
        <w:t> </w:t>
      </w:r>
      <w:r w:rsidR="003A0503">
        <w:t xml:space="preserve">The mentioned </w:t>
      </w:r>
      <w:r>
        <w:t>complications</w:t>
      </w:r>
      <w:r>
        <w:rPr>
          <w:rStyle w:val="apple-converted-space"/>
          <w:color w:val="0E101A"/>
        </w:rPr>
        <w:t> </w:t>
      </w:r>
      <w:r>
        <w:t>have</w:t>
      </w:r>
      <w:r>
        <w:rPr>
          <w:rStyle w:val="apple-converted-space"/>
          <w:color w:val="0E101A"/>
        </w:rPr>
        <w:t> </w:t>
      </w:r>
      <w:r>
        <w:t>been shown</w:t>
      </w:r>
      <w:r>
        <w:rPr>
          <w:rStyle w:val="apple-converted-space"/>
          <w:color w:val="0E101A"/>
        </w:rPr>
        <w:t> </w:t>
      </w:r>
      <w:r>
        <w:t>to</w:t>
      </w:r>
      <w:r>
        <w:rPr>
          <w:rStyle w:val="apple-converted-space"/>
          <w:color w:val="0E101A"/>
        </w:rPr>
        <w:t> </w:t>
      </w:r>
      <w:r>
        <w:t>be</w:t>
      </w:r>
      <w:r>
        <w:rPr>
          <w:rStyle w:val="apple-converted-space"/>
          <w:color w:val="0E101A"/>
        </w:rPr>
        <w:t> </w:t>
      </w:r>
      <w:r w:rsidR="003A0503">
        <w:t>associated with</w:t>
      </w:r>
      <w:r>
        <w:t xml:space="preserve"> tube</w:t>
      </w:r>
      <w:r w:rsidR="003A0503">
        <w:t xml:space="preserve"> </w:t>
      </w:r>
      <w:r>
        <w:t>plate</w:t>
      </w:r>
      <w:r w:rsidR="000B199D">
        <w:t xml:space="preserve"> </w:t>
      </w:r>
      <w:r w:rsidR="003A0503">
        <w:t>size</w:t>
      </w:r>
      <w:r w:rsidR="000B199D">
        <w:t xml:space="preserve"> </w:t>
      </w:r>
      <w:r w:rsidR="003A0503">
        <w:t>and</w:t>
      </w:r>
      <w:r w:rsidR="000B199D">
        <w:t xml:space="preserve"> </w:t>
      </w:r>
      <w:r w:rsidR="003A0503">
        <w:t>location</w:t>
      </w:r>
      <w:r w:rsidR="00F1386A">
        <w:t xml:space="preserve"> </w:t>
      </w:r>
      <w:r w:rsidR="00C11781">
        <w:fldChar w:fldCharType="begin"/>
      </w:r>
      <w:r w:rsidR="00C11781">
        <w:instrText xml:space="preserve"> ADDIN ZOTERO_ITEM CSL_CITATION {"citationID":"UwuA0y5J","properties":{"formattedCitation":"(Budenz et al., 2016)","plainCitation":"(Budenz et al., 2016)","noteIndex":0},"citationItems":[{"id":1474,"uris":["http://zotero.org/users/15573016/items/46FX36SP"],"itemData":{"id":1474,"type":"article-journal","abstract":"PURPOSE: To compare the late complications in the Ahmed Baerveldt Comparison Study during 5 years of follow-up.\nDESIGN: Multicenter, prospective randomized clinical trial.\nMETHODS: setting: Sixteen international clinical centers.\nSTUDY POPULATION: Two hundred seventy-six subjects aged 18-85 years with previous intraocular surgery or refractory glaucoma with intraocular pressure of &gt;18 mm Hg.\nINTERVENTIONS: Ahmed Glaucoma Valve FP7 or Baerveldt Glaucoma Implant BG 101-350.\nMAIN OUTCOME MEASURES: Late postoperative complications (beyond 3 months), reoperations for complications, and decreased vision from complications.\nRESULTS: Late complications developed in 56 subjects (46.8 ± 4.8 5-year cumulative % ± SE) in the Ahmed Glaucoma Valve group and 67 (56.3 ± 4.7 5-year cumulative % ± SE) in the Baerveldt Glaucoma Implant group (P = .082). The cumulative rates of serious complications were 15.9% and 24.7% in the Ahmed Glaucoma Valve and Baerveldt Glaucoma Implant groups, respectively (P = .034), although this was largely driven by subjects who had tube occlusions in the 2 groups (0.8% in the Ahmed Glaucoma Valve group and 5.7% in the Baerveldt Glaucoma Implant group, P = .037). Both groups had a relatively high incidence of persistent diplopia (12%) and corneal edema (20%), although half of the corneal edema cases were likely due to pre-existing causes other than the aqueous shunt. The incidence of tube erosion was 1% and 3% in the Ahmed Glaucoma Valve and Baerveldt Glaucoma Implant groups, respectively (P = .04).\nCONCLUSIONS: Long-term rates of vision-threatening complications and complications resulting in reoperation were higher in the Baerveldt Glaucoma Implant than in the Ahmed Glaucoma Valve group over 5 years of follow-up.","container-title":"American Journal of Ophthalmology","DOI":"10.1016/j.ajo.2015.11.023","ISSN":"1879-1891","journalAbbreviation":"Am J Ophthalmol","language":"eng","note":"PMID: 26596400\nPMCID: PMC4901387","page":"75-82.e3","source":"PubMed","title":"Postoperative Complications in the Ahmed Baerveldt Comparison Study During Five Years of Follow-up","volume":"163","author":[{"family":"Budenz","given":"Donald L."},{"family":"Feuer","given":"William J."},{"family":"Barton","given":"Keith"},{"family":"Schiffman","given":"Joyce"},{"family":"Costa","given":"Vital P."},{"family":"Godfrey","given":"David G."},{"family":"Buys","given":"Yvonne M."},{"literal":"Ahmed Baerveldt Comparison Study Group"}],"issued":{"date-parts":[["2016",3]]},"citation-key":"budenz2016"}}],"schema":"https://github.com/citation-style-language/schema/raw/master/csl-citation.json"} </w:instrText>
      </w:r>
      <w:r w:rsidR="00C11781">
        <w:fldChar w:fldCharType="separate"/>
      </w:r>
      <w:r w:rsidR="00C11781">
        <w:rPr>
          <w:noProof/>
        </w:rPr>
        <w:t>(Budenz et al., 2016)</w:t>
      </w:r>
      <w:r w:rsidR="00C11781">
        <w:fldChar w:fldCharType="end"/>
      </w:r>
      <w:r>
        <w:t xml:space="preserve">. Overall, </w:t>
      </w:r>
      <w:r w:rsidR="000B199D">
        <w:t>e</w:t>
      </w:r>
      <w:r>
        <w:t>arly complications after penetrating</w:t>
      </w:r>
      <w:r>
        <w:rPr>
          <w:rStyle w:val="apple-converted-space"/>
          <w:color w:val="0E101A"/>
        </w:rPr>
        <w:t> </w:t>
      </w:r>
      <w:r>
        <w:t>surg</w:t>
      </w:r>
      <w:r w:rsidR="00C11781">
        <w:t>er</w:t>
      </w:r>
      <w:r>
        <w:t>ies</w:t>
      </w:r>
      <w:r>
        <w:rPr>
          <w:rStyle w:val="apple-converted-space"/>
          <w:color w:val="0E101A"/>
        </w:rPr>
        <w:t> </w:t>
      </w:r>
      <w:r>
        <w:t xml:space="preserve">are typically reversible, whereas late lens/cornea-related complications </w:t>
      </w:r>
      <w:r w:rsidR="003A0503">
        <w:t>can be</w:t>
      </w:r>
      <w:r>
        <w:t xml:space="preserve"> progressive and even vision-threatening without intervention.</w:t>
      </w:r>
    </w:p>
    <w:p w14:paraId="408ED3E3" w14:textId="77777777" w:rsidR="00C11781" w:rsidRDefault="00C11781" w:rsidP="003A0B82">
      <w:pPr>
        <w:spacing w:line="360" w:lineRule="auto"/>
        <w:jc w:val="both"/>
      </w:pPr>
    </w:p>
    <w:p w14:paraId="01BA69EB" w14:textId="17AC1CC2" w:rsidR="001E4BC8" w:rsidRDefault="001E4BC8" w:rsidP="003A0B82">
      <w:pPr>
        <w:spacing w:line="360" w:lineRule="auto"/>
        <w:jc w:val="both"/>
      </w:pPr>
      <w:r w:rsidRPr="00EF1382">
        <w:t>Non-penetrating</w:t>
      </w:r>
      <w:r>
        <w:t xml:space="preserve"> surgeries (deep sclerectomy, canaloplasty) </w:t>
      </w:r>
      <w:r w:rsidR="00EF1382">
        <w:t>maintain the integrity</w:t>
      </w:r>
      <w:r>
        <w:t xml:space="preserve"> of the </w:t>
      </w:r>
      <w:r w:rsidR="003A0503">
        <w:t>T</w:t>
      </w:r>
      <w:r>
        <w:t>rabeculo-Descemet membrane (TDM)</w:t>
      </w:r>
      <w:r w:rsidR="00EF1382">
        <w:t xml:space="preserve">. </w:t>
      </w:r>
      <w:r>
        <w:t>The preservation of</w:t>
      </w:r>
      <w:r>
        <w:rPr>
          <w:rStyle w:val="apple-converted-space"/>
          <w:color w:val="0E101A"/>
        </w:rPr>
        <w:t> </w:t>
      </w:r>
      <w:r>
        <w:t>this natural filtration barrier </w:t>
      </w:r>
      <w:r w:rsidR="00EF1382">
        <w:t>has been shown to reduce</w:t>
      </w:r>
      <w:r>
        <w:rPr>
          <w:rStyle w:val="apple-converted-space"/>
          <w:color w:val="0E101A"/>
        </w:rPr>
        <w:t> </w:t>
      </w:r>
      <w:r w:rsidR="00EF1382">
        <w:rPr>
          <w:rStyle w:val="apple-converted-space"/>
          <w:color w:val="0E101A"/>
        </w:rPr>
        <w:t xml:space="preserve">the </w:t>
      </w:r>
      <w:r>
        <w:t>risks</w:t>
      </w:r>
      <w:r>
        <w:rPr>
          <w:rStyle w:val="apple-converted-space"/>
          <w:color w:val="0E101A"/>
        </w:rPr>
        <w:t> </w:t>
      </w:r>
      <w:r>
        <w:t xml:space="preserve">of postoperative hypotony and infection. Early hyphema is </w:t>
      </w:r>
      <w:r w:rsidR="00EF1382">
        <w:t>a common complication</w:t>
      </w:r>
      <w:r>
        <w:t xml:space="preserve"> </w:t>
      </w:r>
      <w:r w:rsidR="00EF1382">
        <w:t xml:space="preserve">after </w:t>
      </w:r>
      <w:r>
        <w:t>non-penetrating surgeries (DS 2–7%, CP 10–24%)</w:t>
      </w:r>
      <w:r w:rsidR="00F1386A">
        <w:t xml:space="preserve"> </w:t>
      </w:r>
      <w:bookmarkStart w:id="40" w:name="_Hlk212798454"/>
      <w:r w:rsidR="00616A37">
        <w:fldChar w:fldCharType="begin"/>
      </w:r>
      <w:r w:rsidR="00616A37">
        <w:instrText xml:space="preserve"> ADDIN ZOTERO_ITEM CSL_CITATION {"citationID":"Z2qC9V8j","properties":{"formattedCitation":"(Brusini et al., 2016; Khairy et al., 2006, p. 202; Mercieca et al., 2025)","plainCitation":"(Brusini et al., 2016; Khairy et al., 2006, p. 202; Mercieca et al., 2025)","noteIndex":0},"citationItems":[{"id":1703,"uris":["http://zotero.org/users/15573016/items/HUWDT2SP"],"itemData":{"id":1703,"type":"article-journal","abstract":"Purpose:\n              To present the mid-term results of a prospective multicenter study on canaloplasty surgery in chronic open-angle glaucoma.\n            \n            \n              Materials and Methods:\n              A total of 218 eyes from 197 patients with open-angle glaucoma under maximum tolerated medical therapy underwent canaloplasty within a time period of 42 months in 3 different Italian eye centers. All patients underwent a complete ophthalmic examination every 6 months. The follow-up ranged from 3 to 42 months.\n            \n            \n              Results:\n              \n                The entire procedure according to standard protocol could not be performed in 20 eyes (9.2%). A total of 198 eyes from 178 patients with a mean follow-up of 23.1±10.6 months were taken into consideration. The preoperative mean intraocular pressure (IOP) was 28.4±7.5 mm Hg. The mean IOP at the 2-year follow-up was 15.9±4.7 mm Hg (range, 6 to 40 mm Hg; paired\n                t\n                test;\n                P\n                =0.0001), with a mean reduction from baseline of 44% (range, 11.1% to 82.8%). After 2 years of follow-up, a qualified success rate based on postoperative IOP≤21, ≤18, and ≤16 mm Hg was obtained in 82 (92.1%), 75 (84.3%), and 61 (68.5%) eyes, respectively; a complete success for an IOP≤21, ≤18, and ≤16 mm Hg was obtained in 63 (70.8%), 60 (67.4%), and 53 (59.5%) eyes, respectively. The number of medications used preoperatively and at the 2-year follow-up was 3.2±0.9 and 1.1±1.3, respectively. The most frequently seen complications included: hyphema in 47 eyes (23.7%), Descemet membrane detachment in 11 eyes (5.5%), and IOP spikes &gt;10 mm Hg in 12 cases (6.1%).\n              \n            \n            \n              Conclusions:\n              Canaloplasty is a quite difficult surgical technique; however, mid-term results are promising. Complications can sometimes occur, but are seldom serious. The main advantage of this promising bleb-less procedure is that physiological humor aqueous outflow is restored.","container-title":"Journal of Glaucoma","DOI":"10.1097/IJG.0000000000000103","ISSN":"1057-0829","issue":"5","language":"en","page":"403-407","source":"DOI.org (Crossref)","title":"Canaloplasty in Open-angle Glaucoma: Mid-term Results From a Multicenter Study","title-short":"Canaloplasty in Open-angle Glaucoma","URL":"https://journals.lww.com/00061198-201605000-00001","volume":"25","author":[{"family":"Brusini","given":"Paolo"},{"family":"Caramello","given":"Guido"},{"family":"Benedetti","given":"Stefano"},{"family":"Tosoni","given":"Claudia"}],"accessed":{"date-parts":[["2025",7,1]]},"issued":{"date-parts":[["2016",5]]},"citation-key":"brusini2016"}},{"id":821,"uris":["http://zotero.org/users/15573016/items/GRHQZITX"],"itemData":{"id":821,"type":"article-journal","abstract":"AIM: To study the long-term outcome of deep sclerectomy in patients with open angle glaucoma.\nMETHODS: Prospective consecutive series of 43 eyes (38 patients) with medically uncontrolled open-angle glaucoma undergoing deep sclerectomy. All patients underwent clinical assessment before and after surgery at day 7 and at months 1, 3, 6, 12, 18, 24, 36. Surgical success was considered if the patient's intraocular pressure (IOP) &lt; 22 mmHg and the IOP was lowered by more than 20% without the use of any medication. Kaplan-Meier survival curves were used to evaluate the success rate.\nRESULTS: The mean follow-up time was 28.1 +/- 8.2 months. Mean IOP decreased significantly from a preoperative value of 24.6 +/- 5.5 mmHg to a postoperative value of 18.5 +/- 4.6 mmHg at 36 months (P &lt; 0.001). Microperforation of TDM occurred in three cases (7.0%) and ciliary body prolapse in one case (2.3%) but did not prevent completion of the operation. Postoperatively, hyphaema was detected in one case and shallow anterior chamber in another case and both were treated conservatively. Bleb encapsulation with elevation of IOP occurred in two cases (4.7%) and was treated with 5-fluorouracil subconjunctival injection. Goniopuncture with neodymium : YAG laser was performed in two cases (4.7%). There were no other late complications with the exception of failure of the operation. On the life-table analysis the success rate at 12, 24, and 30 months were 61.4, 36.6, and 18.9%, respectively.\nCONCLUSION: Deep sclerectomy reduced the IOP temporarily while minimising the risk of postoperative complications commonly encountered with standard trabeculectomy. However, after long-term follow-up surgery failed to maintain a low IOP.","container-title":"Eye (London, England)","DOI":"10.1038/sj.eye.6701878","ISSN":"0950-222X","issue":"3","journalAbbreviation":"Eye (Lond)","language":"eng","note":"PMID: 15832183","page":"336-340","source":"PubMed","title":"Control of intraocular pressure after deep sclerectomy","volume":"20","author":[{"family":"Khairy","given":"H. A."},{"family":"Green","given":"F. D."},{"family":"Nassar","given":"M. K."},{"family":"Azuara-Blanco","given":"A."}],"issued":{"date-parts":[["2006",3]]},"citation-key":"khairy2006"},"locator":"202"},{"id":1577,"uris":["http://zotero.org/users/15573016/items/GUMWAIWL"],"itemData":{"id":1577,"type":"article-journal","abstract":"Précis:\n              Deep sclerectomy (DS) and canaloplasty provide better intraocular pressure (IOP) control than viscocanalostomy. DS required less glaucoma medications but more interventions to reach the target IOP.\n            \n            \n              Purpose:\n              To compare real-world outcomes of 3 non-penetrating glaucoma surgery (NPGS) techniques.\n            \n            \n              Methods:\n              Retrospective, cohort study of consecutive patients undergoing canaloplasty (CP), deep sclerectomy (DS), and viscocanalostomy (VC), across 9 European glaucoma units. Four intraocular pressure (IOP) criteria were used to define success at 2-year follow-up: (A) IOP≤21 mmHg and ≥20% reduction; (B) IOP≤18 mmHg and ≥20% reduction; (C) IOP≤15 mmHg and ≥25% reduction; (D) IOP≤12 mmHg and ≥30% reduction. Secondary outcomes included IOP control, BCVA, number of medications over time, risk factors for failure, complications, and post-operative interventions. Success was distinguished as qualified or complete, if reached with or without antiglaucoma medications, respectively.\n            \n            \n              Results:\n              \n                Six hundred eyes (545 patients) undergoing standalone CP (201 eyes), DS (200 eyes), and VC (199 eyes) were included. Qualified success rates of CP, DS, and VP at 24 months were, respectively: (criterion A) 85.1%, 67.6%, and 64.6%; (criterion B) 85.1%, 66.1%, and 58.6%; (criterion C) 76.6%, 55.5%, and 39.0%; (criterion D) 27.7%, 28.5%, and 22.1%. Success rates were significantly different across the 3 techniques (\n                P\n                =0.04 or below), except for complete success according to criterion A (\n                P\n                =0.07). Mean IOP(±SD) reduced from 25.2 (±6.9), 20.5 (±6.7), and 22.7 (±7.2)mmHg preoperatively to 13.1 (±3.1), 12.9 (±4.5), and 14.7 (±4.6)mmHg at postoperative year 2 in the CP, DS, and VC groups, respectively (\n                P\n                &lt;0.001 between preoperative and postoperative time points for all groups).\n              \n            \n            \n              Conclusions:\n              All 3 NPGS provide sustained IOP reduction, but DS and CP provide better success rates and IOP control. Success rates were low for the most stringent cutoffs, suggesting that other techniques such as trabeculectomy may be indicated when a very low target IOP is demanded.","container-title":"Journal of Glaucoma","DOI":"10.1097/IJG.0000000000002535","ISSN":"1057-0829, 1536-481X","issue":"5","language":"en","page":"349-357","source":"DOI.org (Crossref)","title":"Comparison of Outcomes of Deep Sclerectomy, Canaloplasty, and Viscocanaloplasty: A Multicenter Study","title-short":"Comparison of Outcomes of Deep Sclerectomy, Canaloplasty, and Viscocanaloplasty","URL":"https://journals.lww.com/10.1097/IJG.0000000000002535","volume":"34","author":[{"family":"Mercieca","given":"Karl"},{"family":"Azzopardi","given":"Matthew"},{"family":"Vallabh","given":"Neeru A."},{"family":"Cristian","given":"Cristina"},{"family":"Prokosch","given":"Verena"},{"family":"Dubois","given":"Vincent"},{"family":"Hemmerdinger","given":"Christopher"},{"family":"De Cillà","given":"Stefano"},{"family":"Mathews","given":"Divya"},{"family":"Mermoud","given":"Andre"},{"family":"Grieshaber","given":"Matthias C."},{"family":"Mégevand","given":"Gordana Sunaric"},{"family":"Anand","given":"Nitin"},{"family":"Rabiolo","given":"Alessandro"}],"accessed":{"date-parts":[["2025",6,30]]},"issued":{"date-parts":[["2025",5]]},"citation-key":"mercieca2025"}}],"schema":"https://github.com/citation-style-language/schema/raw/master/csl-citation.json"} </w:instrText>
      </w:r>
      <w:r w:rsidR="00616A37">
        <w:fldChar w:fldCharType="separate"/>
      </w:r>
      <w:r w:rsidR="00616A37">
        <w:rPr>
          <w:noProof/>
        </w:rPr>
        <w:t>(Brusini et al., 2016; Khairy et al., 2006, p. 202; Mercieca et al., 2025)</w:t>
      </w:r>
      <w:r w:rsidR="00616A37">
        <w:fldChar w:fldCharType="end"/>
      </w:r>
      <w:r w:rsidR="00616A37">
        <w:t xml:space="preserve">. </w:t>
      </w:r>
      <w:bookmarkEnd w:id="40"/>
      <w:r w:rsidR="00EF1382">
        <w:t>Intraoperative m</w:t>
      </w:r>
      <w:r>
        <w:t>icroperforation </w:t>
      </w:r>
      <w:r w:rsidR="00EF1382">
        <w:t xml:space="preserve">of the TDM </w:t>
      </w:r>
      <w:r>
        <w:t xml:space="preserve">(DS 2.5–7%) </w:t>
      </w:r>
      <w:r w:rsidR="00EF1382">
        <w:t xml:space="preserve">can occur, </w:t>
      </w:r>
      <w:r>
        <w:t>but usually does not require any intervention</w:t>
      </w:r>
      <w:r w:rsidR="00616A37">
        <w:t xml:space="preserve"> </w:t>
      </w:r>
      <w:r w:rsidR="00616A37">
        <w:fldChar w:fldCharType="begin"/>
      </w:r>
      <w:r w:rsidR="00616A37">
        <w:instrText xml:space="preserve"> ADDIN ZOTERO_ITEM CSL_CITATION {"citationID":"XiF6NyFj","properties":{"formattedCitation":"(Brusini et al., 2016; Grieshaber et al., 2010; Khairy et al., 2006, p. 202; Mercieca et al., 2025)","plainCitation":"(Brusini et al., 2016; Grieshaber et al., 2010; Khairy et al., 2006, p. 202; Mercieca et al., 2025)","noteIndex":0},"citationItems":[{"id":1703,"uris":["http://zotero.org/users/15573016/items/HUWDT2SP"],"itemData":{"id":1703,"type":"article-journal","abstract":"Purpose:\n              To present the mid-term results of a prospective multicenter study on canaloplasty surgery in chronic open-angle glaucoma.\n            \n            \n              Materials and Methods:\n              A total of 218 eyes from 197 patients with open-angle glaucoma under maximum tolerated medical therapy underwent canaloplasty within a time period of 42 months in 3 different Italian eye centers. All patients underwent a complete ophthalmic examination every 6 months. The follow-up ranged from 3 to 42 months.\n            \n            \n              Results:\n              \n                The entire procedure according to standard protocol could not be performed in 20 eyes (9.2%). A total of 198 eyes from 178 patients with a mean follow-up of 23.1±10.6 months were taken into consideration. The preoperative mean intraocular pressure (IOP) was 28.4±7.5 mm Hg. The mean IOP at the 2-year follow-up was 15.9±4.7 mm Hg (range, 6 to 40 mm Hg; paired\n                t\n                test;\n                P\n                =0.0001), with a mean reduction from baseline of 44% (range, 11.1% to 82.8%). After 2 years of follow-up, a qualified success rate based on postoperative IOP≤21, ≤18, and ≤16 mm Hg was obtained in 82 (92.1%), 75 (84.3%), and 61 (68.5%) eyes, respectively; a complete success for an IOP≤21, ≤18, and ≤16 mm Hg was obtained in 63 (70.8%), 60 (67.4%), and 53 (59.5%) eyes, respectively. The number of medications used preoperatively and at the 2-year follow-up was 3.2±0.9 and 1.1±1.3, respectively. The most frequently seen complications included: hyphema in 47 eyes (23.7%), Descemet membrane detachment in 11 eyes (5.5%), and IOP spikes &gt;10 mm Hg in 12 cases (6.1%).\n              \n            \n            \n              Conclusions:\n              Canaloplasty is a quite difficult surgical technique; however, mid-term results are promising. Complications can sometimes occur, but are seldom serious. The main advantage of this promising bleb-less procedure is that physiological humor aqueous outflow is restored.","container-title":"Journal of Glaucoma","DOI":"10.1097/IJG.0000000000000103","ISSN":"1057-0829","issue":"5","language":"en","page":"403-407","source":"DOI.org (Crossref)","title":"Canaloplasty in Open-angle Glaucoma: Mid-term Results From a Multicenter Study","title-short":"Canaloplasty in Open-angle Glaucoma","URL":"https://journals.lww.com/00061198-201605000-00001","volume":"25","author":[{"family":"Brusini","given":"Paolo"},{"family":"Caramello","given":"Guido"},{"family":"Benedetti","given":"Stefano"},{"family":"Tosoni","given":"Claudia"}],"accessed":{"date-parts":[["2025",7,1]]},"issued":{"date-parts":[["2016",5]]},"citation-key":"brusini2016"}},{"id":824,"uris":["http://zotero.org/users/15573016/items/BN4DFXEL"],"itemData":{"id":824,"type":"article-journal","abstract":"BACKGROUND/AIMS: To study the safety and effectiveness of 360° viscodilation and tensioning of Schlemm canal (canaloplasty) in black African patients with primary open-angle glaucoma (POAG).\nMETHODS: Sixty randomly selected eyes of 60 consecutive patients with POAG were included in this prospective study. Canaloplasty comprised 360° catheterisation of Schlemm's canal by means of a flexible microcatheter with distension of the canal by a tensioning 10-0 polypropylene suture.\nRESULTS: The mean preoperative intraocular pressure pressure (IOP) was 45.0 ± 12.1 mm Hg. The mean follow-up time was 30.6 ± 8.4 months. The mean IOP at 12 months was 15.4 ± 5.2 mm Hg (n=54), at 24 months 16.3 ± 4.2 mm Hg (n = 51) and at 36 months 13.3 ± 1.7 mm Hg (n=49). For IOP ≤ 21 mm Hg, complete success rate was 77.5% and qualified success rate was 81.6% at 36 months. Cox regression analysis showed that preoperative IOP (HR = 1.003, 95% CI = 0.927 to 1.085; p = 0.94), age (HR = 1.000, CI = 0.938 to 1.067; p = 0.98) and sex (HR = 3.005, CI=0.329 to 27.448; p=0.33) were all not significant predictors of IOP reduction to ≤ 21 mm Hg. Complication rate was low (Descemet's detachment n=2, elevated IOP n = 1, false passage of the catheter n = 2).\nCONCLUSION: Canaloplasty produced a sustained long-term reduction of IOP in black Africans with POAG independent of preoperative IOP. As a bleb-independent procedure, canaloplasty may be a true alternative to classic filtering surgery, in particular in patients with enhanced wound healing and scar formation.","container-title":"The British Journal of Ophthalmology","DOI":"10.1136/bjo.2009.163170","ISSN":"1468-2079","issue":"11","journalAbbreviation":"Br J Ophthalmol","language":"eng","note":"PMID: 20962352","page":"1478-1482","source":"PubMed","title":"Canaloplasty for primary open-angle glaucoma: long-term outcome","title-short":"Canaloplasty for primary open-angle glaucoma","volume":"94","author":[{"family":"Grieshaber","given":"Matthias C."},{"family":"Pienaar","given":"Ané"},{"family":"Olivier","given":"Jan"},{"family":"Stegmann","given":"Robert"}],"issued":{"date-parts":[["2010",11]]},"citation-key":"grieshaber2010"}},{"id":821,"uris":["http://zotero.org/users/15573016/items/GRHQZITX"],"itemData":{"id":821,"type":"article-journal","abstract":"AIM: To study the long-term outcome of deep sclerectomy in patients with open angle glaucoma.\nMETHODS: Prospective consecutive series of 43 eyes (38 patients) with medically uncontrolled open-angle glaucoma undergoing deep sclerectomy. All patients underwent clinical assessment before and after surgery at day 7 and at months 1, 3, 6, 12, 18, 24, 36. Surgical success was considered if the patient's intraocular pressure (IOP) &lt; 22 mmHg and the IOP was lowered by more than 20% without the use of any medication. Kaplan-Meier survival curves were used to evaluate the success rate.\nRESULTS: The mean follow-up time was 28.1 +/- 8.2 months. Mean IOP decreased significantly from a preoperative value of 24.6 +/- 5.5 mmHg to a postoperative value of 18.5 +/- 4.6 mmHg at 36 months (P &lt; 0.001). Microperforation of TDM occurred in three cases (7.0%) and ciliary body prolapse in one case (2.3%) but did not prevent completion of the operation. Postoperatively, hyphaema was detected in one case and shallow anterior chamber in another case and both were treated conservatively. Bleb encapsulation with elevation of IOP occurred in two cases (4.7%) and was treated with 5-fluorouracil subconjunctival injection. Goniopuncture with neodymium : YAG laser was performed in two cases (4.7%). There were no other late complications with the exception of failure of the operation. On the life-table analysis the success rate at 12, 24, and 30 months were 61.4, 36.6, and 18.9%, respectively.\nCONCLUSION: Deep sclerectomy reduced the IOP temporarily while minimising the risk of postoperative complications commonly encountered with standard trabeculectomy. However, after long-term follow-up surgery failed to maintain a low IOP.","container-title":"Eye (London, England)","DOI":"10.1038/sj.eye.6701878","ISSN":"0950-222X","issue":"3","journalAbbreviation":"Eye (Lond)","language":"eng","note":"PMID: 15832183","page":"336-340","source":"PubMed","title":"Control of intraocular pressure after deep sclerectomy","volume":"20","author":[{"family":"Khairy","given":"H. A."},{"family":"Green","given":"F. D."},{"family":"Nassar","given":"M. K."},{"family":"Azuara-Blanco","given":"A."}],"issued":{"date-parts":[["2006",3]]},"citation-key":"khairy2006"},"locator":"202"},{"id":1577,"uris":["http://zotero.org/users/15573016/items/GUMWAIWL"],"itemData":{"id":1577,"type":"article-journal","abstract":"Précis:\n              Deep sclerectomy (DS) and canaloplasty provide better intraocular pressure (IOP) control than viscocanalostomy. DS required less glaucoma medications but more interventions to reach the target IOP.\n            \n            \n              Purpose:\n              To compare real-world outcomes of 3 non-penetrating glaucoma surgery (NPGS) techniques.\n            \n            \n              Methods:\n              Retrospective, cohort study of consecutive patients undergoing canaloplasty (CP), deep sclerectomy (DS), and viscocanalostomy (VC), across 9 European glaucoma units. Four intraocular pressure (IOP) criteria were used to define success at 2-year follow-up: (A) IOP≤21 mmHg and ≥20% reduction; (B) IOP≤18 mmHg and ≥20% reduction; (C) IOP≤15 mmHg and ≥25% reduction; (D) IOP≤12 mmHg and ≥30% reduction. Secondary outcomes included IOP control, BCVA, number of medications over time, risk factors for failure, complications, and post-operative interventions. Success was distinguished as qualified or complete, if reached with or without antiglaucoma medications, respectively.\n            \n            \n              Results:\n              \n                Six hundred eyes (545 patients) undergoing standalone CP (201 eyes), DS (200 eyes), and VC (199 eyes) were included. Qualified success rates of CP, DS, and VP at 24 months were, respectively: (criterion A) 85.1%, 67.6%, and 64.6%; (criterion B) 85.1%, 66.1%, and 58.6%; (criterion C) 76.6%, 55.5%, and 39.0%; (criterion D) 27.7%, 28.5%, and 22.1%. Success rates were significantly different across the 3 techniques (\n                P\n                =0.04 or below), except for complete success according to criterion A (\n                P\n                =0.07). Mean IOP(±SD) reduced from 25.2 (±6.9), 20.5 (±6.7), and 22.7 (±7.2)mmHg preoperatively to 13.1 (±3.1), 12.9 (±4.5), and 14.7 (±4.6)mmHg at postoperative year 2 in the CP, DS, and VC groups, respectively (\n                P\n                &lt;0.001 between preoperative and postoperative time points for all groups).\n              \n            \n            \n              Conclusions:\n              All 3 NPGS provide sustained IOP reduction, but DS and CP provide better success rates and IOP control. Success rates were low for the most stringent cutoffs, suggesting that other techniques such as trabeculectomy may be indicated when a very low target IOP is demanded.","container-title":"Journal of Glaucoma","DOI":"10.1097/IJG.0000000000002535","ISSN":"1057-0829, 1536-481X","issue":"5","language":"en","page":"349-357","source":"DOI.org (Crossref)","title":"Comparison of Outcomes of Deep Sclerectomy, Canaloplasty, and Viscocanaloplasty: A Multicenter Study","title-short":"Comparison of Outcomes of Deep Sclerectomy, Canaloplasty, and Viscocanaloplasty","URL":"https://journals.lww.com/10.1097/IJG.0000000000002535","volume":"34","author":[{"family":"Mercieca","given":"Karl"},{"family":"Azzopardi","given":"Matthew"},{"family":"Vallabh","given":"Neeru A."},{"family":"Cristian","given":"Cristina"},{"family":"Prokosch","given":"Verena"},{"family":"Dubois","given":"Vincent"},{"family":"Hemmerdinger","given":"Christopher"},{"family":"De Cillà","given":"Stefano"},{"family":"Mathews","given":"Divya"},{"family":"Mermoud","given":"Andre"},{"family":"Grieshaber","given":"Matthias C."},{"family":"Mégevand","given":"Gordana Sunaric"},{"family":"Anand","given":"Nitin"},{"family":"Rabiolo","given":"Alessandro"}],"accessed":{"date-parts":[["2025",6,30]]},"issued":{"date-parts":[["2025",5]]},"citation-key":"mercieca2025"}}],"schema":"https://github.com/citation-style-language/schema/raw/master/csl-citation.json"} </w:instrText>
      </w:r>
      <w:r w:rsidR="00616A37">
        <w:fldChar w:fldCharType="separate"/>
      </w:r>
      <w:r w:rsidR="00616A37">
        <w:rPr>
          <w:noProof/>
        </w:rPr>
        <w:t>(Brusini et al., 2016; Grieshaber et al., 2010; Khairy et al., 2006, p. 202; Mercieca et al., 2025)</w:t>
      </w:r>
      <w:r w:rsidR="00616A37">
        <w:fldChar w:fldCharType="end"/>
      </w:r>
      <w:r w:rsidR="00616A37">
        <w:t xml:space="preserve">. </w:t>
      </w:r>
      <w:r>
        <w:t xml:space="preserve">The main late </w:t>
      </w:r>
      <w:r>
        <w:lastRenderedPageBreak/>
        <w:t xml:space="preserve">complications </w:t>
      </w:r>
      <w:r w:rsidR="00EF1382">
        <w:t>were</w:t>
      </w:r>
      <w:r>
        <w:t xml:space="preserve"> </w:t>
      </w:r>
      <w:r w:rsidR="00EF1382">
        <w:t xml:space="preserve">procedures to counteract fibrosis and </w:t>
      </w:r>
      <w:r w:rsidR="00010F97">
        <w:t>reduce</w:t>
      </w:r>
      <w:r w:rsidR="003A0503">
        <w:t>d</w:t>
      </w:r>
      <w:r w:rsidR="00010F97">
        <w:t xml:space="preserve"> filtration. </w:t>
      </w:r>
      <w:r>
        <w:t>This</w:t>
      </w:r>
      <w:r>
        <w:rPr>
          <w:rStyle w:val="apple-converted-space"/>
          <w:color w:val="0E101A"/>
        </w:rPr>
        <w:t> </w:t>
      </w:r>
      <w:r>
        <w:t>has</w:t>
      </w:r>
      <w:r>
        <w:rPr>
          <w:rStyle w:val="apple-converted-space"/>
          <w:color w:val="0E101A"/>
        </w:rPr>
        <w:t> </w:t>
      </w:r>
      <w:r>
        <w:t>been</w:t>
      </w:r>
      <w:r w:rsidR="00010F97">
        <w:t xml:space="preserve"> </w:t>
      </w:r>
      <w:r w:rsidR="003A0503">
        <w:t>reported</w:t>
      </w:r>
      <w:r w:rsidR="00010F97">
        <w:t xml:space="preserve"> in the literature as</w:t>
      </w:r>
      <w:r>
        <w:t xml:space="preserve"> </w:t>
      </w:r>
      <w:r w:rsidR="003A0503">
        <w:t>the</w:t>
      </w:r>
      <w:r>
        <w:t xml:space="preserve"> number of</w:t>
      </w:r>
      <w:r w:rsidR="003A0503">
        <w:t xml:space="preserve"> performed</w:t>
      </w:r>
      <w:r>
        <w:t> goniopuncture (DS 33% at 1 year → 63% by 6 years) and needling (10–15%)</w:t>
      </w:r>
      <w:r w:rsidR="00616A37">
        <w:t xml:space="preserve"> </w:t>
      </w:r>
      <w:r w:rsidR="00616A37">
        <w:fldChar w:fldCharType="begin"/>
      </w:r>
      <w:r w:rsidR="00616A37">
        <w:instrText xml:space="preserve"> ADDIN ZOTERO_ITEM CSL_CITATION {"citationID":"HLHWTpvY","properties":{"formattedCitation":"(Mercieca et al., 2025; Rabiolo et al., 2023)","plainCitation":"(Mercieca et al., 2025; Rabiolo et al., 2023)","noteIndex":0},"citationItems":[{"id":1577,"uris":["http://zotero.org/users/15573016/items/GUMWAIWL"],"itemData":{"id":1577,"type":"article-journal","abstract":"Précis:\n              Deep sclerectomy (DS) and canaloplasty provide better intraocular pressure (IOP) control than viscocanalostomy. DS required less glaucoma medications but more interventions to reach the target IOP.\n            \n            \n              Purpose:\n              To compare real-world outcomes of 3 non-penetrating glaucoma surgery (NPGS) techniques.\n            \n            \n              Methods:\n              Retrospective, cohort study of consecutive patients undergoing canaloplasty (CP), deep sclerectomy (DS), and viscocanalostomy (VC), across 9 European glaucoma units. Four intraocular pressure (IOP) criteria were used to define success at 2-year follow-up: (A) IOP≤21 mmHg and ≥20% reduction; (B) IOP≤18 mmHg and ≥20% reduction; (C) IOP≤15 mmHg and ≥25% reduction; (D) IOP≤12 mmHg and ≥30% reduction. Secondary outcomes included IOP control, BCVA, number of medications over time, risk factors for failure, complications, and post-operative interventions. Success was distinguished as qualified or complete, if reached with or without antiglaucoma medications, respectively.\n            \n            \n              Results:\n              \n                Six hundred eyes (545 patients) undergoing standalone CP (201 eyes), DS (200 eyes), and VC (199 eyes) were included. Qualified success rates of CP, DS, and VP at 24 months were, respectively: (criterion A) 85.1%, 67.6%, and 64.6%; (criterion B) 85.1%, 66.1%, and 58.6%; (criterion C) 76.6%, 55.5%, and 39.0%; (criterion D) 27.7%, 28.5%, and 22.1%. Success rates were significantly different across the 3 techniques (\n                P\n                =0.04 or below), except for complete success according to criterion A (\n                P\n                =0.07). Mean IOP(±SD) reduced from 25.2 (±6.9), 20.5 (±6.7), and 22.7 (±7.2)mmHg preoperatively to 13.1 (±3.1), 12.9 (±4.5), and 14.7 (±4.6)mmHg at postoperative year 2 in the CP, DS, and VC groups, respectively (\n                P\n                &lt;0.001 between preoperative and postoperative time points for all groups).\n              \n            \n            \n              Conclusions:\n              All 3 NPGS provide sustained IOP reduction, but DS and CP provide better success rates and IOP control. Success rates were low for the most stringent cutoffs, suggesting that other techniques such as trabeculectomy may be indicated when a very low target IOP is demanded.","container-title":"Journal of Glaucoma","DOI":"10.1097/IJG.0000000000002535","ISSN":"1057-0829, 1536-481X","issue":"5","language":"en","page":"349-357","source":"DOI.org (Crossref)","title":"Comparison of Outcomes of Deep Sclerectomy, Canaloplasty, and Viscocanaloplasty: A Multicenter Study","title-short":"Comparison of Outcomes of Deep Sclerectomy, Canaloplasty, and Viscocanaloplasty","URL":"https://journals.lww.com/10.1097/IJG.0000000000002535","volume":"34","author":[{"family":"Mercieca","given":"Karl"},{"family":"Azzopardi","given":"Matthew"},{"family":"Vallabh","given":"Neeru A."},{"family":"Cristian","given":"Cristina"},{"family":"Prokosch","given":"Verena"},{"family":"Dubois","given":"Vincent"},{"family":"Hemmerdinger","given":"Christopher"},{"family":"De Cillà","given":"Stefano"},{"family":"Mathews","given":"Divya"},{"family":"Mermoud","given":"Andre"},{"family":"Grieshaber","given":"Matthias C."},{"family":"Mégevand","given":"Gordana Sunaric"},{"family":"Anand","given":"Nitin"},{"family":"Rabiolo","given":"Alessandro"}],"accessed":{"date-parts":[["2025",6,30]]},"issued":{"date-parts":[["2025",5]]},"citation-key":"mercieca2025"}},{"id":1580,"uris":["http://zotero.org/users/15573016/items/XXBX5ZX4"],"itemData":{"id":1580,"type":"article-journal","abstract":"Aims\n              To report the incidence, risk factors and long-term outcomes of laser goniopuncture (LGP) in patients with previous deep sclerectomy (DS).\n            \n            \n              Methods\n              Retrospective cohort study of 1765 eyes (1385 patients) undergoing DS with or without cataract surgery between 2001 and 2020 in two UK institutions. Kaplan-Meier was used to estimate LGP incidence. DS success after LGP was calculated for criteria A, B, and C defined as intraocular pressure (IOP) of ≤18, ≤15 and ≤12 mm Hg with 20%, 25% and 30% reduction, respectively. Cox regression was used to investigate factors associated with the risk of failure.\n            \n            \n              Results\n              LGP had an estimated incidence of 33.3% (30.9%–35.6%), 56.3% (53.5%–58.9%) and 62.8% (59.7%–65.6%) at 1, 3, 5 years, respectively. Mean (±SD) IOP significantly (p&lt;0.001) decreased from 21.2 (±6.0) mm Hg pre-LGP to 13.8 (±5.2) mm Hg and 12.9 (±4.7) mm Hg at 3 and 5 years post-LGP, respectively. Success rates at 3 and 5 years were, respectively, 40.9% (37.5%–44.6%) and 33.7% (30.3%–37.6%) for criterion A; 27.1% (24.0%–30.5%) and 22.3% (19.3%–25.7%) for criterion B and 13.9% (11.6%–16.7%) and 11.6% (9.5%–14.3%) for criterion C. In all models, higher pre-LGP IOP (p&lt;0.001) and higher pre-LGP medication number (p&lt;0.001) were associated with increased failure, while male gender (p≤0.004), intraoperative mitomycin C (p≤0.031), longer interval between DS and LGP (p≤0.01) with reduced failure.\n            \n            \n              Conclusion\n              Most patients undergoing DS will eventually require LGP. LGP is effective at rescuing eyes with a failing DS. This study identifies several factors associated with LGP outcomes, knowledge of which may help clinicians predict LGP success.","container-title":"British Journal of Ophthalmology","DOI":"10.1136/bjophthalmol-2021-319314","ISSN":"0007-1161, 1468-2079","issue":"1","journalAbbreviation":"Br J Ophthalmol","language":"en","page":"56-61","source":"DOI.org (Crossref)","title":"Laser goniopuncture after deep sclerectomy: incidence, long-term outcomes and risk factors for failure","title-short":"Laser goniopuncture after deep sclerectomy","URL":"https://bjo.bmj.com/lookup/doi/10.1136/bjophthalmol-2021-319314","volume":"107","author":[{"family":"Rabiolo","given":"Alessandro"},{"family":"Leadbetter","given":"Duncan"},{"family":"Kirk","given":"Jonathan"},{"family":"Anand","given":"Nitin"}],"accessed":{"date-parts":[["2025",6,30]]},"issued":{"date-parts":[["2023",1]]},"citation-key":"rabiolo2023"}}],"schema":"https://github.com/citation-style-language/schema/raw/master/csl-citation.json"} </w:instrText>
      </w:r>
      <w:r w:rsidR="00616A37">
        <w:fldChar w:fldCharType="separate"/>
      </w:r>
      <w:r w:rsidR="00616A37">
        <w:rPr>
          <w:noProof/>
        </w:rPr>
        <w:t>(Mercieca et al., 2025; Rabiolo et al., 2023)</w:t>
      </w:r>
      <w:r w:rsidR="00616A37">
        <w:fldChar w:fldCharType="end"/>
      </w:r>
      <w:r w:rsidR="00616A37">
        <w:t xml:space="preserve">. </w:t>
      </w:r>
      <w:r>
        <w:t xml:space="preserve">Those interventions </w:t>
      </w:r>
      <w:r w:rsidR="00010F97">
        <w:t xml:space="preserve">were typically successful in restoring the </w:t>
      </w:r>
      <w:r>
        <w:t>aqueous drainage.</w:t>
      </w:r>
      <w:r>
        <w:rPr>
          <w:rStyle w:val="apple-converted-space"/>
          <w:color w:val="0E101A"/>
        </w:rPr>
        <w:t> </w:t>
      </w:r>
      <w:r>
        <w:t>In</w:t>
      </w:r>
      <w:r>
        <w:rPr>
          <w:rStyle w:val="apple-converted-space"/>
          <w:color w:val="0E101A"/>
        </w:rPr>
        <w:t> </w:t>
      </w:r>
      <w:r>
        <w:t>general</w:t>
      </w:r>
      <w:r w:rsidR="00F1386A">
        <w:t>,</w:t>
      </w:r>
      <w:r>
        <w:rPr>
          <w:rStyle w:val="apple-converted-space"/>
          <w:color w:val="0E101A"/>
        </w:rPr>
        <w:t> </w:t>
      </w:r>
      <w:r>
        <w:t>vision-threatening complications</w:t>
      </w:r>
      <w:r>
        <w:rPr>
          <w:rStyle w:val="apple-converted-space"/>
          <w:color w:val="0E101A"/>
        </w:rPr>
        <w:t> </w:t>
      </w:r>
      <w:r w:rsidR="00010F97">
        <w:rPr>
          <w:rStyle w:val="apple-converted-space"/>
          <w:color w:val="0E101A"/>
        </w:rPr>
        <w:t>were</w:t>
      </w:r>
      <w:r w:rsidR="00F1386A">
        <w:rPr>
          <w:rStyle w:val="apple-converted-space"/>
          <w:color w:val="0E101A"/>
        </w:rPr>
        <w:t xml:space="preserve"> </w:t>
      </w:r>
      <w:r w:rsidR="00010F97">
        <w:t>uncommonly reported</w:t>
      </w:r>
      <w:r>
        <w:rPr>
          <w:rStyle w:val="apple-converted-space"/>
          <w:color w:val="0E101A"/>
        </w:rPr>
        <w:t> </w:t>
      </w:r>
      <w:r>
        <w:t>after non-penetrating surgeries.</w:t>
      </w:r>
    </w:p>
    <w:p w14:paraId="54670E52" w14:textId="77777777" w:rsidR="00F1386A" w:rsidRDefault="00F1386A" w:rsidP="003A0B82">
      <w:pPr>
        <w:spacing w:line="360" w:lineRule="auto"/>
        <w:jc w:val="both"/>
      </w:pPr>
    </w:p>
    <w:p w14:paraId="6BC81745" w14:textId="661CDA4C" w:rsidR="001E4BC8" w:rsidRDefault="001E4BC8" w:rsidP="003A0B82">
      <w:pPr>
        <w:spacing w:line="360" w:lineRule="auto"/>
        <w:jc w:val="both"/>
      </w:pPr>
      <w:r>
        <w:t xml:space="preserve">MIGS </w:t>
      </w:r>
      <w:r w:rsidR="00010F97">
        <w:t>reduce</w:t>
      </w:r>
      <w:r>
        <w:t xml:space="preserve"> tissue disruption</w:t>
      </w:r>
      <w:r w:rsidR="00010F97">
        <w:t>, making it a minimally invasive modality</w:t>
      </w:r>
      <w:r>
        <w:t>.</w:t>
      </w:r>
      <w:r>
        <w:rPr>
          <w:rStyle w:val="apple-converted-space"/>
          <w:color w:val="0E101A"/>
        </w:rPr>
        <w:t> </w:t>
      </w:r>
      <w:r>
        <w:t>Early transient hyphema has</w:t>
      </w:r>
      <w:r>
        <w:rPr>
          <w:rStyle w:val="apple-converted-space"/>
          <w:color w:val="0E101A"/>
        </w:rPr>
        <w:t> </w:t>
      </w:r>
      <w:r>
        <w:t>been</w:t>
      </w:r>
      <w:r>
        <w:rPr>
          <w:rStyle w:val="apple-converted-space"/>
          <w:color w:val="0E101A"/>
        </w:rPr>
        <w:t> </w:t>
      </w:r>
      <w:r>
        <w:t>reported</w:t>
      </w:r>
      <w:r>
        <w:rPr>
          <w:rStyle w:val="apple-converted-space"/>
          <w:color w:val="0E101A"/>
        </w:rPr>
        <w:t> </w:t>
      </w:r>
      <w:r>
        <w:t>after Hydrus/Trabectome/GATT (≈11–40%)</w:t>
      </w:r>
      <w:r w:rsidR="005124DD">
        <w:t xml:space="preserve"> </w:t>
      </w:r>
      <w:bookmarkStart w:id="41" w:name="_Hlk212798261"/>
      <w:r w:rsidR="005124DD">
        <w:fldChar w:fldCharType="begin"/>
      </w:r>
      <w:r w:rsidR="00616A37">
        <w:instrText xml:space="preserve"> ADDIN ZOTERO_ITEM CSL_CITATION {"citationID":"1Do1t3bH","properties":{"formattedCitation":"(Grover et al., 2014; Hu et al., 2021; Le et al., 2019; Otarola et al., 2020; Weber et al., 2023)","plainCitation":"(Grover et al., 2014; Hu et al., 2021; Le et al., 2019; Otarola et al., 2020; Weber et al., 2023)","noteIndex":0},"citationItems":[{"id":1834,"uris":["http://zotero.org/users/15573016/items/IXUCR934"],"itemData":{"id":1834,"type":"article-journal","container-title":"Ophthalmology","DOI":"10.1016/j.ophtha.2013.11.001","ISSN":"01616420","issue":"4","journalAbbreviation":"Ophthalmology","language":"en","license":"https://www.elsevier.com/tdm/userlicense/1.0/","page":"855-861","source":"DOI.org (Crossref)","title":"Gonioscopy-Assisted Transluminal Trabeculotomy, Ab Interno Trabeculotomy","URL":"https://linkinghub.elsevier.com/retrieve/pii/S0161642013010592","volume":"121","author":[{"family":"Grover","given":"Davinder S."},{"family":"Godfrey","given":"David G."},{"family":"Smith","given":"Oluwatosin"},{"family":"Feuer","given":"William J."},{"family":"Montes De Oca","given":"Ildamaris"},{"family":"Fellman","given":"Ronald L."}],"accessed":{"date-parts":[["2025",7,1]]},"issued":{"date-parts":[["2014",4]]},"citation-key":"grover2014a"}},{"id":2292,"uris":["http://zotero.org/users/15573016/items/3U3YE73R"],"itemData":{"id":2292,"type":"article-journal","container-title":"Cochrane Database of Systematic Reviews","DOI":"10.1002/14651858.CD011693.pub3","ISSN":"14651858","issue":"2","language":"en","source":"DOI.org (Crossref)","title":"Ab interno trabecular bypass surgery with Trabectome for open-angle glaucoma","URL":"http://doi.wiley.com/10.1002/14651858.CD011693.pub3","volume":"2021","editor":[{"literal":"Cochrane Eyes and Vision Group"}],"author":[{"family":"Hu","given":"Kuang"},{"family":"Shah","given":"Anupa"},{"family":"Virgili","given":"Gianni"},{"family":"Bunce","given":"Catey"},{"family":"Gazzard","given":"Gus"}],"accessed":{"date-parts":[["2025",10,29]]},"issued":{"date-parts":[["2021",2,4]]},"citation-key":"hu2021b"}},{"id":2294,"uris":["http://zotero.org/users/15573016/items/P8RL46GB"],"itemData":{"id":2294,"type":"article-journal","container-title":"Cochrane Database of Systematic Reviews","DOI":"10.1002/14651858.CD012743.pub2","ISSN":"14651858","issue":"3","language":"en","source":"DOI.org (Crossref)","title":"Ab interno trabecular bypass surgery with iStent for open-angle glaucoma","URL":"https://doi.wiley.com/10.1002/14651858.CD012743.pub2","volume":"2019","author":[{"family":"Le","given":"Jimmy T"},{"family":"Bicket","given":"Amanda K"},{"family":"Wang","given":"Lin"},{"family":"Li","given":"Tianjing"}],"editor":[{"literal":"Cochrane Eyes and Vision Group"}],"accessed":{"date-parts":[["2025",10,29]]},"issued":{"date-parts":[["2019",3,28]]},"citation-key":"le2019c"}},{"id":2293,"uris":["http://zotero.org/users/15573016/items/E4YJK9RF"],"itemData":{"id":2293,"type":"article-journal","container-title":"Cochrane Database of Systematic Reviews","DOI":"10.1002/14651858.CD012740.pub2","ISSN":"14651858","issue":"3","language":"en","source":"DOI.org (Crossref)","title":"Ab interno trabecular bypass surgery with Schlemm´s canal microstent (Hydrus) for open angle glaucoma","URL":"http://doi.wiley.com/10.1002/14651858.CD012740.pub2","volume":"2020","author":[{"family":"Otarola","given":"Francisco"},{"family":"Virgili","given":"Gianni"},{"family":"Shah","given":"Anupa"},{"family":"Hu","given":"Kuang"},{"family":"Bunce","given":"Catey"},{"family":"Gazzard","given":"Gus"}],"editor":[{"literal":"Cochrane Eyes and Vision Group"}],"accessed":{"date-parts":[["2025",10,29]]},"issued":{"date-parts":[["2020",3,9]]},"citation-key":"otarola2020c"}},{"id":1696,"uris":["http://zotero.org/users/15573016/items/G7P9JJYL"],"itemData":{"id":1696,"type":"article-journal","abstract":"Précis:\n              This retrospective study of 264 eyes having inferior quadrant trabectome surgery confirms its safety and relative effectiveness. Most patients however still require IOP-lowering agents, and a considerable proportion may need additional glaucoma surgery.\n            \n            \n              Purpose:\n              To report outcomes from a large single-center cohort of inferiorly-applied trabectome surgery.\n            \n            \n              Patients and Methods:\n              Retrospective review of patients undergoing trabectome surgery for chronic open angle glaucoma (COAG) at the University Eye Clinic Bonn, Germany, from 2012 to 2020.\n            \n            \n              Results:\n              Two hundred sixty-four eyes of 206 patients with COAG were included. The mean review period was 45.43 (range 12–101) months. One hundred five eyes (39.8%) underwent standalone surgery, of which 74 were pseudophakic and 31 phakic. The mean preoperative IOP was 17.58 mm Hg (range 12–50 mm Hg). One hundred five eyes (39.8%) developed a ‘failure event’ according to pre-defined criteria at a mean interval of 14.8 months postoperative. In absolute terms, 211 patients (79.9%) had a long-term IOP &gt;14 mm Hg at 7.6 months, 174 patients (65.9%) &gt;16 mm Hg at 10.6 months, 127 patients (48.1%) &gt;18 mm Hg at 10.9 months, and 77 patients (29.2%) &gt;21 mm Hg at 11.1 months. Over a five-year period, overall mean IOP remained stable at 13 mm Hg. The majority of patients were still on glaucoma drops (the mean number reduced from 2.9 to 2.7 agents). Subgroup analyses showed that a higher preoperative IOP was a positive predictor for failure, whereas combined surgery (with phaco) had better IOP outcomes (16.5 mm Hg vs. 19.3 mm Hg, respectively). Forty-one patients (15.5%) developed minor complications: 22 had high postoperative IOP within 3 months, 11 developed a self-resorbing hyphema, and 6 had fibrinous uveitis.\n            \n            \n              Conclusions:\n              Trabectome surgery is a safe and relatively effective procedure for lowering IOP, but most patients still need IOP-lowering agents, and a considerable proportion may need additional glaucoma surgery within a relatively short time. Inferior quadrant treatment may result in inferior IOP outcomes when compared with nasal quadrant surgery.","container-title":"Journal of Glaucoma","DOI":"10.1097/IJG.0000000000002164","ISSN":"1057-0829","issue":"6","language":"en","page":"480-488","source":"DOI.org (Crossref)","title":"Five-Year Clinical Outcomes of Inferior Quadrant Trabectome Surgery for Open Angle Glaucoma","URL":"https://journals.lww.com/10.1097/IJG.0000000000002164","volume":"32","author":[{"family":"Weber","given":"Constance"},{"family":"Ludwig","given":"Elisabeth"},{"family":"Hundertmark","given":"Sarah"},{"family":"Brinkmann","given":"Christian Karl"},{"family":"Petrak","given":"Michael"},{"family":"Holz","given":"Frank G."},{"family":"Mercieca","given":"Karl"}],"accessed":{"date-parts":[["2025",7,1]]},"issued":{"date-parts":[["2023",6]]},"citation-key":"weber2023"}}],"schema":"https://github.com/citation-style-language/schema/raw/master/csl-citation.json"} </w:instrText>
      </w:r>
      <w:r w:rsidR="005124DD">
        <w:fldChar w:fldCharType="separate"/>
      </w:r>
      <w:r w:rsidR="00616A37">
        <w:rPr>
          <w:noProof/>
        </w:rPr>
        <w:t>(Grover et al., 2014; Hu et al., 2021; Le et al., 2019; Otarola et al., 2020; Weber et al., 2023)</w:t>
      </w:r>
      <w:r w:rsidR="005124DD">
        <w:fldChar w:fldCharType="end"/>
      </w:r>
      <w:bookmarkEnd w:id="41"/>
      <w:r>
        <w:t xml:space="preserve">. IOP spikes (iStent 1–33%) </w:t>
      </w:r>
      <w:r w:rsidR="00010F97">
        <w:t>were also</w:t>
      </w:r>
      <w:r>
        <w:t xml:space="preserve"> typically</w:t>
      </w:r>
      <w:r w:rsidR="00010F97">
        <w:t xml:space="preserve"> noted</w:t>
      </w:r>
      <w:r>
        <w:t xml:space="preserve"> in the early postoperative period, similar to those in laser trabeculoplasties</w:t>
      </w:r>
      <w:r w:rsidR="00F1386A">
        <w:t xml:space="preserve"> </w:t>
      </w:r>
      <w:r w:rsidR="00616A37">
        <w:fldChar w:fldCharType="begin"/>
      </w:r>
      <w:r w:rsidR="00616A37">
        <w:instrText xml:space="preserve"> ADDIN ZOTERO_ITEM CSL_CITATION {"citationID":"fJW8o2e6","properties":{"formattedCitation":"(Le et al., 2019)","plainCitation":"(Le et al., 2019)","noteIndex":0},"citationItems":[{"id":2294,"uris":["http://zotero.org/users/15573016/items/P8RL46GB"],"itemData":{"id":2294,"type":"article-journal","container-title":"Cochrane Database of Systematic Reviews","DOI":"10.1002/14651858.CD012743.pub2","ISSN":"14651858","issue":"3","language":"en","source":"DOI.org (Crossref)","title":"Ab interno trabecular bypass surgery with iStent for open-angle glaucoma","URL":"https://doi.wiley.com/10.1002/14651858.CD012743.pub2","volume":"2019","author":[{"family":"Le","given":"Jimmy T"},{"family":"Bicket","given":"Amanda K"},{"family":"Wang","given":"Lin"},{"family":"Li","given":"Tianjing"}],"editor":[{"literal":"Cochrane Eyes and Vision Group"}],"accessed":{"date-parts":[["2025",10,29]]},"issued":{"date-parts":[["2019",3,28]]},"citation-key":"le2019c"}}],"schema":"https://github.com/citation-style-language/schema/raw/master/csl-citation.json"} </w:instrText>
      </w:r>
      <w:r w:rsidR="00616A37">
        <w:fldChar w:fldCharType="separate"/>
      </w:r>
      <w:r w:rsidR="00616A37">
        <w:rPr>
          <w:noProof/>
        </w:rPr>
        <w:t>(Le et al., 2019)</w:t>
      </w:r>
      <w:r w:rsidR="00616A37">
        <w:fldChar w:fldCharType="end"/>
      </w:r>
      <w:r w:rsidR="00616A37">
        <w:t xml:space="preserve">. </w:t>
      </w:r>
      <w:r w:rsidR="003A0503">
        <w:t>C</w:t>
      </w:r>
      <w:r w:rsidR="00010F97">
        <w:t>omplications were</w:t>
      </w:r>
      <w:r>
        <w:t xml:space="preserve"> transient and self-limited, rarely requiring intervention. Late complications </w:t>
      </w:r>
      <w:r w:rsidR="00010F97">
        <w:t>have been</w:t>
      </w:r>
      <w:r>
        <w:t xml:space="preserve"> associated with device</w:t>
      </w:r>
      <w:r w:rsidR="00010F97">
        <w:t xml:space="preserve"> functionality</w:t>
      </w:r>
      <w:r>
        <w:t>,</w:t>
      </w:r>
      <w:r>
        <w:rPr>
          <w:rStyle w:val="apple-converted-space"/>
          <w:color w:val="0E101A"/>
        </w:rPr>
        <w:t> </w:t>
      </w:r>
      <w:r>
        <w:t>e.g.</w:t>
      </w:r>
      <w:r w:rsidR="00F1386A">
        <w:t>,</w:t>
      </w:r>
      <w:r>
        <w:rPr>
          <w:rStyle w:val="apple-converted-space"/>
          <w:color w:val="0E101A"/>
        </w:rPr>
        <w:t> </w:t>
      </w:r>
      <w:r>
        <w:t>stent obstruction/malposition (iStent 1–18%; Hydrus obstruction 1–12%, PAS 9–20%) or need for secondary surgery (Trabectome ~23% at 36 months, GATT ~9%</w:t>
      </w:r>
      <w:r w:rsidR="00616A37">
        <w:t xml:space="preserve">) </w:t>
      </w:r>
      <w:r w:rsidR="00616A37">
        <w:fldChar w:fldCharType="begin"/>
      </w:r>
      <w:r w:rsidR="00616A37">
        <w:instrText xml:space="preserve"> ADDIN ZOTERO_ITEM CSL_CITATION {"citationID":"YdJZIp6p","properties":{"formattedCitation":"(Grover et al., 2014; Hu et al., 2021; Le et al., 2019; Otarola et al., 2020)","plainCitation":"(Grover et al., 2014; Hu et al., 2021; Le et al., 2019; Otarola et al., 2020)","noteIndex":0},"citationItems":[{"id":1834,"uris":["http://zotero.org/users/15573016/items/IXUCR934"],"itemData":{"id":1834,"type":"article-journal","container-title":"Ophthalmology","DOI":"10.1016/j.ophtha.2013.11.001","ISSN":"01616420","issue":"4","journalAbbreviation":"Ophthalmology","language":"en","license":"https://www.elsevier.com/tdm/userlicense/1.0/","page":"855-861","source":"DOI.org (Crossref)","title":"Gonioscopy-Assisted Transluminal Trabeculotomy, Ab Interno Trabeculotomy","URL":"https://linkinghub.elsevier.com/retrieve/pii/S0161642013010592","volume":"121","author":[{"family":"Grover","given":"Davinder S."},{"family":"Godfrey","given":"David G."},{"family":"Smith","given":"Oluwatosin"},{"family":"Feuer","given":"William J."},{"family":"Montes De Oca","given":"Ildamaris"},{"family":"Fellman","given":"Ronald L."}],"accessed":{"date-parts":[["2025",7,1]]},"issued":{"date-parts":[["2014",4]]},"citation-key":"grover2014a"}},{"id":2292,"uris":["http://zotero.org/users/15573016/items/3U3YE73R"],"itemData":{"id":2292,"type":"article-journal","container-title":"Cochrane Database of Systematic Reviews","DOI":"10.1002/14651858.CD011693.pub3","ISSN":"14651858","issue":"2","language":"en","source":"DOI.org (Crossref)","title":"Ab interno trabecular bypass surgery with Trabectome for open-angle glaucoma","URL":"http://doi.wiley.com/10.1002/14651858.CD011693.pub3","volume":"2021","editor":[{"literal":"Cochrane Eyes and Vision Group"}],"author":[{"family":"Hu","given":"Kuang"},{"family":"Shah","given":"Anupa"},{"family":"Virgili","given":"Gianni"},{"family":"Bunce","given":"Catey"},{"family":"Gazzard","given":"Gus"}],"accessed":{"date-parts":[["2025",10,29]]},"issued":{"date-parts":[["2021",2,4]]},"citation-key":"hu2021b"}},{"id":2294,"uris":["http://zotero.org/users/15573016/items/P8RL46GB"],"itemData":{"id":2294,"type":"article-journal","container-title":"Cochrane Database of Systematic Reviews","DOI":"10.1002/14651858.CD012743.pub2","ISSN":"14651858","issue":"3","language":"en","source":"DOI.org (Crossref)","title":"Ab interno trabecular bypass surgery with iStent for open-angle glaucoma","URL":"https://doi.wiley.com/10.1002/14651858.CD012743.pub2","volume":"2019","author":[{"family":"Le","given":"Jimmy T"},{"family":"Bicket","given":"Amanda K"},{"family":"Wang","given":"Lin"},{"family":"Li","given":"Tianjing"}],"editor":[{"literal":"Cochrane Eyes and Vision Group"}],"accessed":{"date-parts":[["2025",10,29]]},"issued":{"date-parts":[["2019",3,28]]},"citation-key":"le2019c"}},{"id":2293,"uris":["http://zotero.org/users/15573016/items/E4YJK9RF"],"itemData":{"id":2293,"type":"article-journal","container-title":"Cochrane Database of Systematic Reviews","DOI":"10.1002/14651858.CD012740.pub2","ISSN":"14651858","issue":"3","language":"en","source":"DOI.org (Crossref)","title":"Ab interno trabecular bypass surgery with Schlemm´s canal microstent (Hydrus) for open angle glaucoma","URL":"http://doi.wiley.com/10.1002/14651858.CD012740.pub2","volume":"2020","author":[{"family":"Otarola","given":"Francisco"},{"family":"Virgili","given":"Gianni"},{"family":"Shah","given":"Anupa"},{"family":"Hu","given":"Kuang"},{"family":"Bunce","given":"Catey"},{"family":"Gazzard","given":"Gus"}],"editor":[{"literal":"Cochrane Eyes and Vision Group"}],"accessed":{"date-parts":[["2025",10,29]]},"issued":{"date-parts":[["2020",3,9]]},"citation-key":"otarola2020c"}}],"schema":"https://github.com/citation-style-language/schema/raw/master/csl-citation.json"} </w:instrText>
      </w:r>
      <w:r w:rsidR="00616A37">
        <w:fldChar w:fldCharType="separate"/>
      </w:r>
      <w:r w:rsidR="00616A37">
        <w:rPr>
          <w:noProof/>
        </w:rPr>
        <w:t>(Grover et al., 2014; Hu et al., 2021; Le et al., 2019; Otarola et al., 2020)</w:t>
      </w:r>
      <w:r w:rsidR="00616A37">
        <w:fldChar w:fldCharType="end"/>
      </w:r>
      <w:r w:rsidR="00616A37">
        <w:t>.</w:t>
      </w:r>
    </w:p>
    <w:p w14:paraId="4F4FDB19" w14:textId="77777777" w:rsidR="00F1386A" w:rsidRDefault="00F1386A" w:rsidP="003A0B82">
      <w:pPr>
        <w:spacing w:line="360" w:lineRule="auto"/>
        <w:jc w:val="both"/>
      </w:pPr>
    </w:p>
    <w:p w14:paraId="685AB7CC" w14:textId="01E17A91" w:rsidR="001E4BC8" w:rsidRDefault="001E4BC8" w:rsidP="003A0B82">
      <w:pPr>
        <w:spacing w:line="360" w:lineRule="auto"/>
        <w:jc w:val="both"/>
      </w:pPr>
      <w:r>
        <w:t xml:space="preserve">Micro-invasive filtration surgeries (Preserflo, XEN) combine </w:t>
      </w:r>
      <w:r w:rsidR="00010F97">
        <w:t>the minimally</w:t>
      </w:r>
      <w:r w:rsidR="003A0503">
        <w:t xml:space="preserve"> </w:t>
      </w:r>
      <w:r w:rsidR="00010F97">
        <w:t>invasive approach of MIGS with the creation of</w:t>
      </w:r>
      <w:r>
        <w:t xml:space="preserve"> a subconjunctival</w:t>
      </w:r>
      <w:r w:rsidR="00010F97">
        <w:t xml:space="preserve"> filtration</w:t>
      </w:r>
      <w:r>
        <w:t xml:space="preserve"> bleb.</w:t>
      </w:r>
      <w:r>
        <w:rPr>
          <w:rStyle w:val="apple-converted-space"/>
          <w:color w:val="0E101A"/>
        </w:rPr>
        <w:t> </w:t>
      </w:r>
      <w:r w:rsidR="00010F97">
        <w:rPr>
          <w:rStyle w:val="apple-converted-space"/>
          <w:color w:val="0E101A"/>
        </w:rPr>
        <w:t>C</w:t>
      </w:r>
      <w:r w:rsidR="00F1386A">
        <w:rPr>
          <w:rStyle w:val="apple-converted-space"/>
          <w:color w:val="0E101A"/>
        </w:rPr>
        <w:t>omplications</w:t>
      </w:r>
      <w:r w:rsidR="00F1386A">
        <w:t xml:space="preserve"> </w:t>
      </w:r>
      <w:r w:rsidR="00010F97">
        <w:t>were</w:t>
      </w:r>
      <w:r>
        <w:rPr>
          <w:rStyle w:val="apple-converted-space"/>
          <w:color w:val="0E101A"/>
        </w:rPr>
        <w:t> </w:t>
      </w:r>
      <w:r w:rsidR="00A55C45">
        <w:t>associated</w:t>
      </w:r>
      <w:r w:rsidR="00010F97">
        <w:t xml:space="preserve"> </w:t>
      </w:r>
      <w:r w:rsidR="00A55C45">
        <w:t>with</w:t>
      </w:r>
      <w:r w:rsidR="00010F97">
        <w:t xml:space="preserve"> bleb</w:t>
      </w:r>
      <w:r w:rsidR="00A55C45">
        <w:t xml:space="preserve"> formation and early, uncontrolled drainage</w:t>
      </w:r>
      <w:r w:rsidR="00010F97">
        <w:t>, similar to</w:t>
      </w:r>
      <w:r w:rsidR="00F1386A">
        <w:rPr>
          <w:rStyle w:val="apple-converted-space"/>
          <w:color w:val="0E101A"/>
        </w:rPr>
        <w:t xml:space="preserve"> </w:t>
      </w:r>
      <w:r w:rsidR="00A55C45">
        <w:rPr>
          <w:rStyle w:val="apple-converted-space"/>
          <w:color w:val="0E101A"/>
        </w:rPr>
        <w:t xml:space="preserve">those seen with </w:t>
      </w:r>
      <w:r>
        <w:t xml:space="preserve">trabeculectomy. Early </w:t>
      </w:r>
      <w:r w:rsidR="00010F97">
        <w:t>postoperative complications included hypotony (to ~19%) and choroidal effusion/detachment (10–15%), which have been attributed</w:t>
      </w:r>
      <w:r>
        <w:t xml:space="preserve"> to the immaturity of the bleb</w:t>
      </w:r>
      <w:r w:rsidR="00F1386A">
        <w:t xml:space="preserve"> </w:t>
      </w:r>
      <w:bookmarkStart w:id="42" w:name="_Hlk212798140"/>
      <w:r w:rsidR="005124DD">
        <w:fldChar w:fldCharType="begin"/>
      </w:r>
      <w:r w:rsidR="005124DD">
        <w:instrText xml:space="preserve"> ADDIN ZOTERO_ITEM CSL_CITATION {"citationID":"kbdhy9ag","properties":{"formattedCitation":"(Mieno et al., 2025; Park et al., 2023; Scheres et al., 2021; Tanner et al., 2023)","plainCitation":"(Mieno et al., 2025; Park et al., 2023; Scheres et al., 2021; Tanner et al., 2023)","noteIndex":0},"citationItems":[{"id":1627,"uris":["http://zotero.org/users/15573016/items/HAWPC9HP"],"itemData":{"id":1627,"type":"article-journal","container-title":"Scientific Reports","DOI":"10.1038/s41598-025-92879-9","ISSN":"2045-2322","issue":"1","journalAbbreviation":"Sci Rep","language":"en","page":"8344","source":"DOI.org (Crossref)","title":"Risk factors and protective strategies for hypotony following preserflo microshunt implantation","URL":"https://www.nature.com/articles/s41598-025-92879-9","volume":"15","author":[{"family":"Mieno","given":"Hiroki"},{"family":"Mori","given":"Kazuhiko"},{"family":"Yoshii","given":"Kengo"},{"family":"Okada","given":"Yo"},{"family":"Ikeda","given":"Yoko"},{"family":"Ueno","given":"Morio"},{"family":"Sotozono","given":"Chie"}],"accessed":{"date-parts":[["2025",6,30]]},"issued":{"date-parts":[["2025",3,11]]},"citation-key":"mieno2025a"}},{"id":1970,"uris":["http://zotero.org/users/15573016/items/GSJQVYT7"],"itemData":{"id":1970,"type":"article-journal","container-title":"Cochrane Database of Systematic Reviews","DOI":"10.1002/14651858.CD010472.pub3","ISSN":"14651858","issue":"3","language":"en","source":"DOI.org (Crossref)","title":"Device-modified trabeculectomy for glaucoma","URL":"http://doi.wiley.com/10.1002/14651858.CD010472.pub3","volume":"2023","editor":[{"literal":"Cochrane Eyes and Vision Group"}],"author":[{"family":"Park","given":"Junghyun"},{"family":"Rittiphairoj","given":"Thanitsara"},{"family":"Wang","given":"Xue"},{"family":"E","given":"Jian-Yu"},{"family":"Bicket","given":"Amanda K"}],"accessed":{"date-parts":[["2025",7,6]]},"issued":{"date-parts":[["2023",3,13]]},"citation-key":"park2023"}},{"id":1974,"uris":["http://zotero.org/users/15573016/items/KU5EPMK7"],"itemData":{"id":1974,"type":"article-journal","abstract":"Abstract\n            \n              Purpose\n              \n                To evaluate the long‐term efficacy and safety of two minimally invasive glaucoma surgery implants with a subconjunctival drainage approach: the XEN45 Gel Stent\n                ®\n                (Xen) implant and the PRESERFLO™ MicroShunt (MicroShunt).\n              \n            \n            \n              Methods\n              Retrospective comparative case series of primary open‐angle glaucoma (POAG) patients with at least 6 months of follow‐up after a MicroShunt or Xen implantation augmented with mitomycin C.\n            \n            \n              Results\n              \n                Forty‐one eyes of 31 patients underwent Xen implantation, and 41 eyes of 33 patients, MicroShunt implantation. Baseline characteristics were similar, except for more combined surgeries with phacoemulsification in the Xen group (37% vs. 2%). Mean baseline IOP ± standard deviation dropped from 19.2 ± 4.4 to 13.8 ± 3.8 mmHg (\n                n\n                 = 26) in the Xen group and from 20.1 ± 5.0 to 12.1 ± 3.5 (\n                n\n                 = 14) in the MicroShunt group at 24 months of follow‐up (p = 0.19, t‐test). The number of IOP‐lowering medications dropped from 2.5 ± 1.4 to 0.9 ± 1.2 in the Xen group and from 2.3 ± 1.5 to 0.7 ± 1.1 in the MicroShunt group. The probability of qualified success was 73% and 79% at 24 months of follow‐up for the Xen and MicroShunt groups, respectively. Postoperative complications were usually mild and self‐limiting. The number of bleb needling and secondary glaucoma surgery procedures was similar in both groups; however, in the Xen group more additional MicroPulse\n                ®\n                transscleral cyclophotocoagulation procedures were performed.\n              \n            \n            \n              Conclusion\n              Xen Gel Stent and PreserFlo MicroShunt implantations achieved comparable results in POAG eyes in terms of IOP‐lowering and surgical success, with a similar high safety profile.","container-title":"Acta Ophthalmologica","DOI":"10.1111/aos.14602","ISSN":"1755-375X, 1755-3768","issue":"3","journalAbbreviation":"Acta Ophthalmologica","language":"en","source":"DOI.org (Crossref)","title":"XEN&lt;sup&gt;®&lt;/sup&gt; Gel Stent compared to PRESERFLO™ MicroShunt implantation for primary open‐angle glaucoma: two‐year results","title-short":"XEN&lt;sup&gt;®&lt;/sup&gt; Gel Stent compared to PRESERFLO™ MicroShunt implantation for primary open‐angle glaucoma","URL":"https://onlinelibrary.wiley.com/doi/10.1111/aos.14602","volume":"99","author":[{"family":"Scheres","given":"Lotte M.J."},{"family":"Kujovic‐Aleksov","given":"Stefani"},{"family":"Ramdas","given":"Wishal D."},{"family":"De Crom","given":"Ronald M.P.C."},{"family":"Roelofs","given":"Lianne C.G."},{"family":"Berendschot","given":"Tos T.J.M."},{"family":"Webers","given":"Carroll A.B."},{"family":"Beckers","given":"Henny J.M."}],"accessed":{"date-parts":[["2025",7,6]]},"issued":{"date-parts":[["2021",5]]},"citation-key":"scheres2021"}},{"id":1630,"uris":["http://zotero.org/users/15573016/items/GHMAGJ86"],"itemData":{"id":1630,"type":"article-journal","abstract":"Background/aims\n              To evaluate the efficacy and safety of the PreserFlo MicroShunt glaucoma device in a multicentre cohort study.\n            \n            \n              Methods\n              All consecutive patients who received the microshunt with mitomycin-C (MMC) 0.4 mg/mL from May 2019 to September 2020 in three UK tertiary centres. Primary outcome at 1 year was a complete success, with failure defined as intraocular pressure (IOP) &gt;21 mmHg or &lt;20% reduction, IOP≤5 mmHg with any decreased vision on two consecutive visits, reoperation or loss of light perception vision. Secondary outcomes were IOP, best-corrected visual acuity, medications, complications, interventions and reoperations. We also performed subgroup analyses for severe glaucoma and assessed risk factors for failure.\n            \n            \n              Results\n              104 eyes had 1-year follow-up. Complete and qualified success at 1 year were achieved in 51.9% (N=54) and 16.4% (N=17), respectively, and failure occurred in 31.7% (N=33). There was a significant reduction in IOP (mmHg) from preoperatively (23.4±0.8, N=104) to 12 months (14.7±0.6, N=104) (p&lt;0.0001). Antiglaucoma medications also decreased from preoperatively (3.4±0.1, N=104) to 12 months (0.7±0.1, N=104) (p&lt;0.0001). Multivariate analyses showed an association between higher mean deviation and failure (HR 1.055, 95% CI 1.0075 to 1.11, p=0.0227). Complications were hypotony (19.2%; N=20), choroidal detachments (10.6%; N=11), hyphaema (5.8%; N=6) and bleb leak (5.8%; N=6). Needling and 5-fluorouracil injections were performed in 12.5% (N=13) and 33.7% (N=35), respectively, and 11.5% (N=12) required revision surgery.\n            \n            \n              Conclusion\n              The PreserFlo MicroShunt with MMC 0.4 mg/mL showed an overall success rate of 68.3% at 1 year, and led to significant IOP and medication reduction with a low rate of adverse effects.","container-title":"British Journal of Ophthalmology","DOI":"10.1136/bjophthalmol-2021-320631","ISSN":"0007-1161, 1468-2079","issue":"8","journalAbbreviation":"Br J Ophthalmol","language":"en","page":"1104-1111","source":"DOI.org (Crossref)","title":"One-year surgical outcomes of the PreserFlo MicroShunt in glaucoma: a multicentre analysis","title-short":"One-year surgical outcomes of the PreserFlo MicroShunt in glaucoma","URL":"https://bjo.bmj.com/lookup/doi/10.1136/bjophthalmol-2021-320631","volume":"107","author":[{"family":"Tanner","given":"Alexander"},{"family":"Haddad","given":"Fadi"},{"family":"Fajardo-Sanchez","given":"Julia"},{"family":"Nguyen","given":"Ethan"},{"family":"Thong","given":"Kai Xin"},{"family":"Ah-Moye","given":"Sarah"},{"family":"Perl","given":"Nicole"},{"family":"Abu-Bakra","given":"Mohammed"},{"family":"Kulkarni","given":"Avinash"},{"family":"Trikha","given":"Sameer"},{"family":"Lascaratos","given":"Gerassimos"},{"family":"Parnell","given":"Miles"},{"family":"Kailani","given":"Obeda"},{"family":"King","given":"Anthony J"},{"family":"Agrawal","given":"Pavi"},{"family":"Stead","given":"Richard"},{"family":"Giannouladis","given":"Konstantinos"},{"family":"Rodrigues","given":"Ian"},{"family":"Goyal","given":"Saurabh"},{"family":"Hysi","given":"Pirro G"},{"family":"Lim","given":"Sheng"},{"family":"Yu-Wai-Man","given":"Cynthia"}],"accessed":{"date-parts":[["2025",6,30]]},"issued":{"date-parts":[["2023",8]]},"citation-key":"tanner2023"}}],"schema":"https://github.com/citation-style-language/schema/raw/master/csl-citation.json"} </w:instrText>
      </w:r>
      <w:r w:rsidR="005124DD">
        <w:fldChar w:fldCharType="separate"/>
      </w:r>
      <w:r w:rsidR="005124DD">
        <w:rPr>
          <w:noProof/>
        </w:rPr>
        <w:t>(Mieno et al., 2025; Park et al., 2023; Scheres et al., 2021; Tanner et al., 2023)</w:t>
      </w:r>
      <w:r w:rsidR="005124DD">
        <w:fldChar w:fldCharType="end"/>
      </w:r>
      <w:r w:rsidR="005124DD">
        <w:t xml:space="preserve">. </w:t>
      </w:r>
      <w:bookmarkEnd w:id="42"/>
      <w:r>
        <w:t xml:space="preserve">Late complications </w:t>
      </w:r>
      <w:r w:rsidR="00010F97">
        <w:t>were</w:t>
      </w:r>
      <w:r>
        <w:t xml:space="preserve"> bleb fibrosis requiring needling (12–29%) and 5-FU injection (to ~34%)</w:t>
      </w:r>
      <w:r w:rsidR="00F1386A">
        <w:t xml:space="preserve"> </w:t>
      </w:r>
      <w:r w:rsidR="005124DD">
        <w:fldChar w:fldCharType="begin"/>
      </w:r>
      <w:r w:rsidR="005124DD">
        <w:instrText xml:space="preserve"> ADDIN ZOTERO_ITEM CSL_CITATION {"citationID":"qDXxXnWg","properties":{"formattedCitation":"(Scheres et al., 2021; Tanner et al., 2023)","plainCitation":"(Scheres et al., 2021; Tanner et al., 2023)","noteIndex":0},"citationItems":[{"id":1974,"uris":["http://zotero.org/users/15573016/items/KU5EPMK7"],"itemData":{"id":1974,"type":"article-journal","abstract":"Abstract\n            \n              Purpose\n              \n                To evaluate the long‐term efficacy and safety of two minimally invasive glaucoma surgery implants with a subconjunctival drainage approach: the XEN45 Gel Stent\n                ®\n                (Xen) implant and the PRESERFLO™ MicroShunt (MicroShunt).\n              \n            \n            \n              Methods\n              Retrospective comparative case series of primary open‐angle glaucoma (POAG) patients with at least 6 months of follow‐up after a MicroShunt or Xen implantation augmented with mitomycin C.\n            \n            \n              Results\n              \n                Forty‐one eyes of 31 patients underwent Xen implantation, and 41 eyes of 33 patients, MicroShunt implantation. Baseline characteristics were similar, except for more combined surgeries with phacoemulsification in the Xen group (37% vs. 2%). Mean baseline IOP ± standard deviation dropped from 19.2 ± 4.4 to 13.8 ± 3.8 mmHg (\n                n\n                 = 26) in the Xen group and from 20.1 ± 5.0 to 12.1 ± 3.5 (\n                n\n                 = 14) in the MicroShunt group at 24 months of follow‐up (p = 0.19, t‐test). The number of IOP‐lowering medications dropped from 2.5 ± 1.4 to 0.9 ± 1.2 in the Xen group and from 2.3 ± 1.5 to 0.7 ± 1.1 in the MicroShunt group. The probability of qualified success was 73% and 79% at 24 months of follow‐up for the Xen and MicroShunt groups, respectively. Postoperative complications were usually mild and self‐limiting. The number of bleb needling and secondary glaucoma surgery procedures was similar in both groups; however, in the Xen group more additional MicroPulse\n                ®\n                transscleral cyclophotocoagulation procedures were performed.\n              \n            \n            \n              Conclusion\n              Xen Gel Stent and PreserFlo MicroShunt implantations achieved comparable results in POAG eyes in terms of IOP‐lowering and surgical success, with a similar high safety profile.","container-title":"Acta Ophthalmologica","DOI":"10.1111/aos.14602","ISSN":"1755-375X, 1755-3768","issue":"3","journalAbbreviation":"Acta Ophthalmologica","language":"en","source":"DOI.org (Crossref)","title":"XEN&lt;sup&gt;®&lt;/sup&gt; Gel Stent compared to PRESERFLO™ MicroShunt implantation for primary open‐angle glaucoma: two‐year results","title-short":"XEN&lt;sup&gt;®&lt;/sup&gt; Gel Stent compared to PRESERFLO™ MicroShunt implantation for primary open‐angle glaucoma","URL":"https://onlinelibrary.wiley.com/doi/10.1111/aos.14602","volume":"99","author":[{"family":"Scheres","given":"Lotte M.J."},{"family":"Kujovic‐Aleksov","given":"Stefani"},{"family":"Ramdas","given":"Wishal D."},{"family":"De Crom","given":"Ronald M.P.C."},{"family":"Roelofs","given":"Lianne C.G."},{"family":"Berendschot","given":"Tos T.J.M."},{"family":"Webers","given":"Carroll A.B."},{"family":"Beckers","given":"Henny J.M."}],"accessed":{"date-parts":[["2025",7,6]]},"issued":{"date-parts":[["2021",5]]},"citation-key":"scheres2021"}},{"id":1630,"uris":["http://zotero.org/users/15573016/items/GHMAGJ86"],"itemData":{"id":1630,"type":"article-journal","abstract":"Background/aims\n              To evaluate the efficacy and safety of the PreserFlo MicroShunt glaucoma device in a multicentre cohort study.\n            \n            \n              Methods\n              All consecutive patients who received the microshunt with mitomycin-C (MMC) 0.4 mg/mL from May 2019 to September 2020 in three UK tertiary centres. Primary outcome at 1 year was a complete success, with failure defined as intraocular pressure (IOP) &gt;21 mmHg or &lt;20% reduction, IOP≤5 mmHg with any decreased vision on two consecutive visits, reoperation or loss of light perception vision. Secondary outcomes were IOP, best-corrected visual acuity, medications, complications, interventions and reoperations. We also performed subgroup analyses for severe glaucoma and assessed risk factors for failure.\n            \n            \n              Results\n              104 eyes had 1-year follow-up. Complete and qualified success at 1 year were achieved in 51.9% (N=54) and 16.4% (N=17), respectively, and failure occurred in 31.7% (N=33). There was a significant reduction in IOP (mmHg) from preoperatively (23.4±0.8, N=104) to 12 months (14.7±0.6, N=104) (p&lt;0.0001). Antiglaucoma medications also decreased from preoperatively (3.4±0.1, N=104) to 12 months (0.7±0.1, N=104) (p&lt;0.0001). Multivariate analyses showed an association between higher mean deviation and failure (HR 1.055, 95% CI 1.0075 to 1.11, p=0.0227). Complications were hypotony (19.2%; N=20), choroidal detachments (10.6%; N=11), hyphaema (5.8%; N=6) and bleb leak (5.8%; N=6). Needling and 5-fluorouracil injections were performed in 12.5% (N=13) and 33.7% (N=35), respectively, and 11.5% (N=12) required revision surgery.\n            \n            \n              Conclusion\n              The PreserFlo MicroShunt with MMC 0.4 mg/mL showed an overall success rate of 68.3% at 1 year, and led to significant IOP and medication reduction with a low rate of adverse effects.","container-title":"British Journal of Ophthalmology","DOI":"10.1136/bjophthalmol-2021-320631","ISSN":"0007-1161, 1468-2079","issue":"8","journalAbbreviation":"Br J Ophthalmol","language":"en","page":"1104-1111","source":"DOI.org (Crossref)","title":"One-year surgical outcomes of the PreserFlo MicroShunt in glaucoma: a multicentre analysis","title-short":"One-year surgical outcomes of the PreserFlo MicroShunt in glaucoma","URL":"https://bjo.bmj.com/lookup/doi/10.1136/bjophthalmol-2021-320631","volume":"107","author":[{"family":"Tanner","given":"Alexander"},{"family":"Haddad","given":"Fadi"},{"family":"Fajardo-Sanchez","given":"Julia"},{"family":"Nguyen","given":"Ethan"},{"family":"Thong","given":"Kai Xin"},{"family":"Ah-Moye","given":"Sarah"},{"family":"Perl","given":"Nicole"},{"family":"Abu-Bakra","given":"Mohammed"},{"family":"Kulkarni","given":"Avinash"},{"family":"Trikha","given":"Sameer"},{"family":"Lascaratos","given":"Gerassimos"},{"family":"Parnell","given":"Miles"},{"family":"Kailani","given":"Obeda"},{"family":"King","given":"Anthony J"},{"family":"Agrawal","given":"Pavi"},{"family":"Stead","given":"Richard"},{"family":"Giannouladis","given":"Konstantinos"},{"family":"Rodrigues","given":"Ian"},{"family":"Goyal","given":"Saurabh"},{"family":"Hysi","given":"Pirro G"},{"family":"Lim","given":"Sheng"},{"family":"Yu-Wai-Man","given":"Cynthia"}],"accessed":{"date-parts":[["2025",6,30]]},"issued":{"date-parts":[["2023",8]]},"citation-key":"tanner2023"}}],"schema":"https://github.com/citation-style-language/schema/raw/master/csl-citation.json"} </w:instrText>
      </w:r>
      <w:r w:rsidR="005124DD">
        <w:fldChar w:fldCharType="separate"/>
      </w:r>
      <w:r w:rsidR="005124DD">
        <w:rPr>
          <w:noProof/>
        </w:rPr>
        <w:t>(Scheres et al., 2021; Tanner et al., 2023)</w:t>
      </w:r>
      <w:r w:rsidR="005124DD">
        <w:fldChar w:fldCharType="end"/>
      </w:r>
      <w:r>
        <w:t xml:space="preserve">. </w:t>
      </w:r>
      <w:r w:rsidR="00010F97">
        <w:t xml:space="preserve">Long-term complications after XEN implantation were </w:t>
      </w:r>
      <w:r>
        <w:t xml:space="preserve">stent occlusion (4–9%) and </w:t>
      </w:r>
      <w:r w:rsidR="00010F97">
        <w:t>stent</w:t>
      </w:r>
      <w:r>
        <w:t> migration</w:t>
      </w:r>
      <w:r w:rsidR="007F12B2">
        <w:t xml:space="preserve"> </w:t>
      </w:r>
      <w:r w:rsidR="005124DD">
        <w:fldChar w:fldCharType="begin"/>
      </w:r>
      <w:r w:rsidR="005124DD">
        <w:instrText xml:space="preserve"> ADDIN ZOTERO_ITEM CSL_CITATION {"citationID":"numgOGSZ","properties":{"formattedCitation":"(Gan et al., 2024)","plainCitation":"(Gan et al., 2024)","noteIndex":0},"citationItems":[{"id":1635,"uris":["http://zotero.org/users/15573016/items/Z9HG3MJP"],"itemData":{"id":1635,"type":"article-journal","abstract":"Aim\n              This study was aimed to summarize the complications and their management associated with XEN gel stent implantation.\n            \n            \n              Methods\n              A systematic review of literature was conducted using Medline (via PubMed), EMBASE, the Cochrane Library databases, and China National Knowledge Infrastructure, from their inception to February 1, 2024.\n            \n            \n              Results\n              A total of 48 studies published between 2017 and 2024 were identified and included in the systematic review, including 16 original studies (retrospective or prospective clinical studies), 28 case reports, and 4 case series, which followed patients for up to 5 years. Early postoperative complications of XEN gel stent implantation include hypotony maculopathy (1.9–4.6%), occlusion (3.9–8.8%), suprachoroidal hemorrhage (SCH), choroidal detachment (0–15%), conjunctival erosion, and exposure of the XEN gel stent (1.1–2.3%), wound and bleb leaks (2.1%) and malignant glaucoma (MG) (2.2%). Mid-postoperative complications of XEN gel stent implantation included migration of XEN (1.5%), ptosis (1.2%), endophthalmitis (0.4–3%), macular edema (1.5–4.3%), hypertrophic bleb (8.8%) and subconjunctival XEN gel stent fragmentation (reported in 2 cases). Late postoperative complications reported in cases included spontaneous dislocation and intraocular degradation.\n            \n            \n              Conclusion\n              XEN gel stent implantation is a minimally invasive glaucoma surgery (MIGS) procedure for glaucoma, known for its potential to minimize tissue damage and reduce surgical duration. However, it is crucial to note that despite these advantages, there remains a risk of severe complications, including endophthalmitis, SCH, and MG. Therefore, postoperative follow-up and early recognition of severe complications are essential for surgical management.","container-title":"Frontiers in Medicine","DOI":"10.3389/fmed.2024.1360051","ISSN":"2296-858X","journalAbbreviation":"Front. Med.","page":"1360051","source":"DOI.org (Crossref)","title":"Complications of XEN gel stent implantation for the treatment of glaucoma: a systematic review","title-short":"Complications of XEN gel stent implantation for the treatment of glaucoma","URL":"https://www.frontiersin.org/articles/10.3389/fmed.2024.1360051/full","volume":"11","author":[{"family":"Gan","given":"Lu"},{"family":"Wang","given":"Lixiang"},{"family":"Chen","given":"Jun"},{"family":"Tang","given":"Li"}],"accessed":{"date-parts":[["2025",6,30]]},"issued":{"date-parts":[["2024",5,6]]},"citation-key":"gan2024b"}}],"schema":"https://github.com/citation-style-language/schema/raw/master/csl-citation.json"} </w:instrText>
      </w:r>
      <w:r w:rsidR="005124DD">
        <w:fldChar w:fldCharType="separate"/>
      </w:r>
      <w:r w:rsidR="005124DD">
        <w:rPr>
          <w:noProof/>
        </w:rPr>
        <w:t>(Gan et al., 2024)</w:t>
      </w:r>
      <w:r w:rsidR="005124DD">
        <w:fldChar w:fldCharType="end"/>
      </w:r>
      <w:r w:rsidR="005124DD">
        <w:t xml:space="preserve">. </w:t>
      </w:r>
      <w:r w:rsidR="00010F97">
        <w:t>A severe v</w:t>
      </w:r>
      <w:r>
        <w:t>ision-threatening</w:t>
      </w:r>
      <w:r w:rsidR="00010F97">
        <w:t xml:space="preserve"> complication was</w:t>
      </w:r>
      <w:r>
        <w:t xml:space="preserve"> hypotony maculopathy (~2–5% XEN)</w:t>
      </w:r>
      <w:r w:rsidR="00010F97">
        <w:t xml:space="preserve">, which was shown to be </w:t>
      </w:r>
      <w:r>
        <w:t xml:space="preserve">reversible </w:t>
      </w:r>
      <w:r w:rsidR="00010F97">
        <w:t>with</w:t>
      </w:r>
      <w:r>
        <w:t xml:space="preserve"> timely</w:t>
      </w:r>
      <w:r w:rsidR="007F12B2">
        <w:t xml:space="preserve"> </w:t>
      </w:r>
      <w:r w:rsidR="00010F97">
        <w:t>medical management</w:t>
      </w:r>
      <w:r w:rsidR="007F12B2">
        <w:t xml:space="preserve"> </w:t>
      </w:r>
      <w:bookmarkStart w:id="43" w:name="_Hlk212798065"/>
      <w:r w:rsidR="005124DD">
        <w:fldChar w:fldCharType="begin"/>
      </w:r>
      <w:r w:rsidR="005124DD">
        <w:instrText xml:space="preserve"> ADDIN ZOTERO_ITEM CSL_CITATION {"citationID":"5EUHOQfa","properties":{"formattedCitation":"(Gan et al., 2024; Governatori et al., 2025)","plainCitation":"(Gan et al., 2024; Governatori et al., 2025)","noteIndex":0},"citationItems":[{"id":1635,"uris":["http://zotero.org/users/15573016/items/Z9HG3MJP"],"itemData":{"id":1635,"type":"article-journal","abstract":"Aim\n              This study was aimed to summarize the complications and their management associated with XEN gel stent implantation.\n            \n            \n              Methods\n              A systematic review of literature was conducted using Medline (via PubMed), EMBASE, the Cochrane Library databases, and China National Knowledge Infrastructure, from their inception to February 1, 2024.\n            \n            \n              Results\n              A total of 48 studies published between 2017 and 2024 were identified and included in the systematic review, including 16 original studies (retrospective or prospective clinical studies), 28 case reports, and 4 case series, which followed patients for up to 5 years. Early postoperative complications of XEN gel stent implantation include hypotony maculopathy (1.9–4.6%), occlusion (3.9–8.8%), suprachoroidal hemorrhage (SCH), choroidal detachment (0–15%), conjunctival erosion, and exposure of the XEN gel stent (1.1–2.3%), wound and bleb leaks (2.1%) and malignant glaucoma (MG) (2.2%). Mid-postoperative complications of XEN gel stent implantation included migration of XEN (1.5%), ptosis (1.2%), endophthalmitis (0.4–3%), macular edema (1.5–4.3%), hypertrophic bleb (8.8%) and subconjunctival XEN gel stent fragmentation (reported in 2 cases). Late postoperative complications reported in cases included spontaneous dislocation and intraocular degradation.\n            \n            \n              Conclusion\n              XEN gel stent implantation is a minimally invasive glaucoma surgery (MIGS) procedure for glaucoma, known for its potential to minimize tissue damage and reduce surgical duration. However, it is crucial to note that despite these advantages, there remains a risk of severe complications, including endophthalmitis, SCH, and MG. Therefore, postoperative follow-up and early recognition of severe complications are essential for surgical management.","container-title":"Frontiers in Medicine","DOI":"10.3389/fmed.2024.1360051","ISSN":"2296-858X","journalAbbreviation":"Front. Med.","page":"1360051","source":"DOI.org (Crossref)","title":"Complications of XEN gel stent implantation for the treatment of glaucoma: a systematic review","title-short":"Complications of XEN gel stent implantation for the treatment of glaucoma","URL":"https://www.frontiersin.org/articles/10.3389/fmed.2024.1360051/full","volume":"11","author":[{"family":"Gan","given":"Lu"},{"family":"Wang","given":"Lixiang"},{"family":"Chen","given":"Jun"},{"family":"Tang","given":"Li"}],"accessed":{"date-parts":[["2025",6,30]]},"issued":{"date-parts":[["2024",5,6]]},"citation-key":"gan2024b"}},{"id":1971,"uris":["http://zotero.org/users/15573016/items/JXIQBE9S"],"itemData":{"id":1971,"type":"article-journal","container-title":"Graefe's Archive for Clinical and Experimental Ophthalmology","DOI":"10.1007/s00417-024-06649-w","ISSN":"0721-832X, 1435-702X","issue":"4","journalAbbreviation":"Graefes Arch Clin Exp Ophthalmol","language":"en","page":"885-899","source":"DOI.org (Crossref)","title":"PreserFlo MicroShunt versus trabeculectomy: an updated meta-analysis and systematic review","title-short":"PreserFlo MicroShunt versus trabeculectomy","URL":"https://link.springer.com/10.1007/s00417-024-06649-w","volume":"263","author":[{"family":"Governatori","given":"Lorenzo"},{"family":"Oliverio","given":"Leandro"},{"family":"Mermoud","given":"André"},{"family":"Scampoli","given":"Alessandra"},{"family":"Sarati","given":"Federica"},{"family":"Carradori","given":"Andrea"},{"family":"Catalani","given":"Roberta"},{"family":"Monaco","given":"Carlo"},{"family":"Caporossi","given":"Tomaso"},{"family":"Rizzo","given":"Stanislao"}],"accessed":{"date-parts":[["2025",7,6]]},"issued":{"date-parts":[["2025",4]]},"citation-key":"governatori2025"}}],"schema":"https://github.com/citation-style-language/schema/raw/master/csl-citation.json"} </w:instrText>
      </w:r>
      <w:r w:rsidR="005124DD">
        <w:fldChar w:fldCharType="separate"/>
      </w:r>
      <w:r w:rsidR="005124DD">
        <w:rPr>
          <w:noProof/>
        </w:rPr>
        <w:t>(Gan et al., 2024; Governatori et al., 2025)</w:t>
      </w:r>
      <w:r w:rsidR="005124DD">
        <w:fldChar w:fldCharType="end"/>
      </w:r>
      <w:bookmarkEnd w:id="43"/>
      <w:r>
        <w:t>. </w:t>
      </w:r>
    </w:p>
    <w:p w14:paraId="545C49EE" w14:textId="77777777" w:rsidR="00F1386A" w:rsidRDefault="00F1386A" w:rsidP="003A0B82">
      <w:pPr>
        <w:spacing w:line="360" w:lineRule="auto"/>
        <w:jc w:val="both"/>
      </w:pPr>
    </w:p>
    <w:p w14:paraId="7B4A0943" w14:textId="4F4E0BD6" w:rsidR="001E4BC8" w:rsidRDefault="001E4BC8" w:rsidP="003A0B82">
      <w:pPr>
        <w:spacing w:line="360" w:lineRule="auto"/>
        <w:jc w:val="both"/>
      </w:pPr>
      <w:r>
        <w:t>Cyclodestructive surgeries</w:t>
      </w:r>
      <w:r>
        <w:rPr>
          <w:rStyle w:val="apple-converted-space"/>
          <w:color w:val="0E101A"/>
        </w:rPr>
        <w:t> </w:t>
      </w:r>
      <w:r w:rsidR="00010F97">
        <w:t>are recommended for</w:t>
      </w:r>
      <w:r>
        <w:t xml:space="preserve"> advanced, refractory POAG</w:t>
      </w:r>
      <w:r w:rsidR="007F12B2">
        <w:t xml:space="preserve"> </w:t>
      </w:r>
      <w:r w:rsidR="005124DD">
        <w:fldChar w:fldCharType="begin"/>
      </w:r>
      <w:r w:rsidR="005124DD">
        <w:instrText xml:space="preserve"> ADDIN ZOTERO_ITEM CSL_CITATION {"citationID":"QVlpmBZX","properties":{"formattedCitation":"(Gedde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rsidR="005124DD">
        <w:fldChar w:fldCharType="separate"/>
      </w:r>
      <w:r w:rsidR="005124DD">
        <w:rPr>
          <w:noProof/>
        </w:rPr>
        <w:t>(Gedde et al., 2021b)</w:t>
      </w:r>
      <w:r w:rsidR="005124DD">
        <w:fldChar w:fldCharType="end"/>
      </w:r>
      <w:r>
        <w:t>.</w:t>
      </w:r>
      <w:r>
        <w:rPr>
          <w:rStyle w:val="apple-converted-space"/>
          <w:color w:val="0E101A"/>
        </w:rPr>
        <w:t> </w:t>
      </w:r>
      <w:r w:rsidR="00010F97">
        <w:rPr>
          <w:rStyle w:val="apple-converted-space"/>
          <w:color w:val="0E101A"/>
        </w:rPr>
        <w:t xml:space="preserve">As the </w:t>
      </w:r>
      <w:r>
        <w:t>ciliary endothelium</w:t>
      </w:r>
      <w:r w:rsidR="00010F97">
        <w:t xml:space="preserve"> is irreversibly ablated, it </w:t>
      </w:r>
      <w:r w:rsidR="00A55C45">
        <w:t>poses</w:t>
      </w:r>
      <w:r w:rsidR="00010F97">
        <w:t xml:space="preserve"> a postoperative risk for</w:t>
      </w:r>
      <w:r>
        <w:t xml:space="preserve"> hypotony.</w:t>
      </w:r>
      <w:r>
        <w:rPr>
          <w:rStyle w:val="apple-converted-space"/>
          <w:color w:val="0E101A"/>
        </w:rPr>
        <w:t> </w:t>
      </w:r>
      <w:r>
        <w:t>Continuous-wave TS-CPC has been associated</w:t>
      </w:r>
      <w:r>
        <w:rPr>
          <w:rStyle w:val="apple-converted-space"/>
          <w:color w:val="0E101A"/>
        </w:rPr>
        <w:t> </w:t>
      </w:r>
      <w:r>
        <w:t xml:space="preserve">with </w:t>
      </w:r>
      <w:r w:rsidR="00010F97">
        <w:t xml:space="preserve">postoperative </w:t>
      </w:r>
      <w:r>
        <w:t>inflammation, pain, hypotony</w:t>
      </w:r>
      <w:r w:rsidR="00010F97">
        <w:t xml:space="preserve">, </w:t>
      </w:r>
      <w:r>
        <w:t>and</w:t>
      </w:r>
      <w:r>
        <w:rPr>
          <w:rStyle w:val="apple-converted-space"/>
          <w:color w:val="0E101A"/>
        </w:rPr>
        <w:t> </w:t>
      </w:r>
      <w:r>
        <w:t>high rates of prolonged hypotony</w:t>
      </w:r>
      <w:r w:rsidR="00010F97">
        <w:t>,</w:t>
      </w:r>
      <w:r>
        <w:t xml:space="preserve"> leading </w:t>
      </w:r>
      <w:r w:rsidR="00010F97">
        <w:t>even to</w:t>
      </w:r>
      <w:r>
        <w:t xml:space="preserve"> phthisis and irreversible vision loss (up to ~10%)</w:t>
      </w:r>
      <w:r w:rsidR="007F12B2">
        <w:t xml:space="preserve"> </w:t>
      </w:r>
      <w:r w:rsidR="005124DD">
        <w:fldChar w:fldCharType="begin"/>
      </w:r>
      <w:r w:rsidR="005124DD">
        <w:instrText xml:space="preserve"> ADDIN ZOTERO_ITEM CSL_CITATION {"citationID":"WXvGXv9Q","properties":{"formattedCitation":"(Chavez et al., 2025; Souissi et al., 2021)","plainCitation":"(Chavez et al., 2025; Souissi et al., 2021)","noteIndex":0},"citationItems":[{"id":1590,"uris":["http://zotero.org/users/15573016/items/G59QEH4R"],"itemData":{"id":1590,"type":"article-journal","abstract":"Précis:\n              Micropulse transscleral laser treatment (MP-TLT) and continuous wave transscleral cyclophotocoagulation demonstrated comparable intraocular pressure across all follow-ups. MP-TLT was associated with significantly lower risks of ocular complications such as hypotony, prolonged inflammation, and phthisis bulbi.\n            \n            \n              Purpose:\n              To compare the efficacy and safety of micropulse transscleral laser treatment (MP-TLT) and continuous wave transscleral cyclophotocoagulation (CW-TSCPC) for the treatment of glaucoma or ocular hypertension.\n            \n            \n              Methods:\n              \n                A systematic search was conducted in PubMed, Cochrane Library, Embase, and ClinicalTrials.gov. Randomized controlled trials (RCTs) or cohort studies comparing MP-TLT and CW-TSCPC were included. Weighted mean differences (MDs) were computed for continuous endpoints and risk ratios (RRs) for binary endpoints, with 95% confidence intervals (CIs). Heterogeneity was assessed with I\n                2\n                statistics. Software R, version 4.4.0, was used for statistical analyses. Subgroup analyses were conducted on glaucoma types.\n              \n            \n            \n              Results:\n              Eleven studies encompassing 1,054 eyes from 986 patients were included, with 47.4% receiving MP-TLT. There were no significant differences in IOP between CW-TSCPC and MP-TLT at one week, one month, three months, six months, 12 months, and 18 months of follow-up. The MP-TLT group required a significantly higher number of hypotensive medications but displayed significantly reduced risks of overall complications, ocular hypotony, prolonged inflammation, and phthisis bulbi compared to CW-TSCPC.\n            \n            \n              Conclusion:\n              MP-TLT and CW-TSCPC showed similar efficacy in IOP control. However, MP-TLT demonstrated a greater safety profile, suggesting its potential suitability for patients requiring repeat interventions or those with lower tolerance for ocular complications.","container-title":"Journal of Glaucoma","DOI":"10.1097/IJG.0000000000002583","ISSN":"1057-0829, 1536-481X","language":"en","source":"DOI.org (Crossref)","title":"Micropulse Transscleral Laser Treatment vs. Continuous Wave Transscleral Cyclophotocoagulation for the Treatment of Glaucoma or Ocular Hypertension: A Meta-Analysis","title-short":"Micropulse Transscleral Laser Treatment vs. Continuous Wave Transscleral Cyclophotocoagulation for the Treatment of Glaucoma or Ocular Hypertension","URL":"https://journals.lww.com/10.1097/IJG.0000000000002583","author":[{"family":"Chavez","given":"Matheus Pedrotti"},{"family":"Guedes","given":"Guilherme Barroso"},{"family":"Pasqualotto","given":"Eric"},{"family":"De Almeida","given":"Izabela Negrão Frota"},{"family":"Lopes","given":"Lucca Moreira"},{"family":"Prata","given":"Tiago Santos"},{"family":"De Souza","given":"Tiago Tomaz"}],"accessed":{"date-parts":[["2025",6,30]]},"issued":{"date-parts":[["2025",4,29]]},"citation-key":"chavez2025"}},{"id":1714,"uris":["http://zotero.org/users/15573016/items/PM3EIRD7"],"itemData":{"id":1714,"type":"article-journal","abstract":"Abstract\n            \n              Purpose\n              Continuous‐wave cyclophotocoagulation (CW‐CPC) is often preferred to medical and surgical treatments for managing refractory glaucoma. This review summarizes diode CW‐CPC indications, history, histopathology, methods, efficacy and safety. It also provides an overview of the latest data available on micropulse transscleral laser treatment (MP‐TLT) that uses repetitive micropulses of diode laser energy in an off‐and‐on cyclical fashion.\n            \n            \n              Methods\n              A literature review was conducted on transscleral CW‐CPC (CW‐TSCPC), endoscopic CPC (ECP) and MP‐TLT. Relevant series of adult and paediatric patients were included for assessing the procedures.\n            \n            \n              Results\n              Regarding CW‐TCPC, highly variable success rates are reported in the literature, depending on the definition of success, type of underlying glaucoma, energy settings, follow‐up duration and retreatment rates. CW‐CPC often needs to be repeated, especially in paediatric patients. CW‐CPC exposes to risks of inflammation and chronic ocular hypotony or phthisis with irreversible visual loss. CW‐TSCPC has mainly been used in very severe forms of glaucoma, in painful eyes with limited visual potential or after filtering surgery failure. Published data on ECP are more limited but overall good success rates have been reported. Through the direct visualization of the targeted ciliary body in anatomically abnormal eyes, ECP is the preferred surgical procedure in paediatric refractory glaucoma. Complication rates are relatively low after ECP; however, large studies with long‐term follow‐up are needed. ECP may be used in difficult, refractory cases, but it is often used earlier when combined with cataract surgery. Despite limited data on the exact mechanism of action of MP‐TLT and a lack of standardization of laser settings, the first data from heterogeneous case series shows that it has a similar efficacy and a better safety profile compared to CW‐TSCPC in the medium term.\n            \n            \n              Conclusion\n              Although they may lead to sight‐threatening complications, both CW‐TSCPC and ECP seem effective. ECP appears to be superior to CW‐TSCPC in paediatric refractory glaucoma. Unlike ECP combined with cataract surgery, evidence supporting a wider use of CW‐TSCPC and MP‐TLT in earlier stages of neuropathy is lacking. While it now appears that the safety profile of MP‐TLT is superior to that of CW‐CPC, robust prospective comparative studies including homogeneous and well‐defined cohorts of patients are still needed to confirm an at least comparable efficacy in the long term.","container-title":"Acta Ophthalmologica","DOI":"10.1111/aos.14661","ISSN":"1755-375X, 1755-3768","issue":"5","journalAbbreviation":"Acta Ophthalmologica","language":"en","source":"DOI.org (Crossref)","title":"An update on continuous‐wave cyclophotocoagulation (CW‐CPC) and micropulse transscleral laser treatment (MP‐TLT) for adult and paediatric refractory glaucoma","URL":"https://onlinelibrary.wiley.com/doi/10.1111/aos.14661","volume":"99","author":[{"family":"Souissi","given":"Soufiane"},{"family":"Le Mer","given":"Yannick"},{"family":"Metge","given":"Florence"},{"family":"Portmann","given":"Alexandre"},{"family":"Baudouin","given":"Christophe"},{"family":"Labbé","given":"Antoine"},{"family":"Hamard","given":"Pascale"}],"accessed":{"date-parts":[["2025",7,1]]},"issued":{"date-parts":[["2021",8]]},"citation-key":"souissi2021"}}],"schema":"https://github.com/citation-style-language/schema/raw/master/csl-citation.json"} </w:instrText>
      </w:r>
      <w:r w:rsidR="005124DD">
        <w:fldChar w:fldCharType="separate"/>
      </w:r>
      <w:r w:rsidR="005124DD">
        <w:rPr>
          <w:noProof/>
        </w:rPr>
        <w:t>(Chavez et al., 2025; Souissi et al., 2021)</w:t>
      </w:r>
      <w:r w:rsidR="005124DD">
        <w:fldChar w:fldCharType="end"/>
      </w:r>
      <w:r>
        <w:t>. </w:t>
      </w:r>
    </w:p>
    <w:p w14:paraId="07D4F5F9" w14:textId="5FD82201" w:rsidR="00393E7A" w:rsidRDefault="00484FDB" w:rsidP="003A0B82">
      <w:pPr>
        <w:spacing w:line="360" w:lineRule="auto"/>
        <w:ind w:firstLine="567"/>
        <w:jc w:val="both"/>
      </w:pPr>
      <w:r>
        <w:lastRenderedPageBreak/>
        <w:t>MP-</w:t>
      </w:r>
      <w:r w:rsidR="001E4BC8">
        <w:t xml:space="preserve">TSCPC </w:t>
      </w:r>
      <w:r w:rsidR="00010F97">
        <w:t>demonstrated a reduced</w:t>
      </w:r>
      <w:r w:rsidR="001E4BC8">
        <w:t xml:space="preserve"> incidence of late hypotony and its</w:t>
      </w:r>
      <w:r w:rsidR="001E4BC8">
        <w:rPr>
          <w:rStyle w:val="apple-converted-space"/>
          <w:color w:val="0E101A"/>
        </w:rPr>
        <w:t> </w:t>
      </w:r>
      <w:r w:rsidR="001E4BC8">
        <w:t>sequel</w:t>
      </w:r>
      <w:r w:rsidR="001E4BC8">
        <w:rPr>
          <w:rStyle w:val="apple-converted-space"/>
          <w:color w:val="0E101A"/>
        </w:rPr>
        <w:t> </w:t>
      </w:r>
      <w:r w:rsidR="00010F97">
        <w:t>(</w:t>
      </w:r>
      <w:r w:rsidR="001E4BC8">
        <w:t> &lt;1%</w:t>
      </w:r>
      <w:r w:rsidR="00010F97">
        <w:t>)</w:t>
      </w:r>
      <w:r w:rsidR="00B645DB">
        <w:t xml:space="preserve">, which has been attributed to the lesser extent of collateral tissue ablation. This makes </w:t>
      </w:r>
      <w:r>
        <w:t>MP-</w:t>
      </w:r>
      <w:r w:rsidR="00B645DB">
        <w:t>TSCPC</w:t>
      </w:r>
      <w:r w:rsidR="001E4BC8">
        <w:t xml:space="preserve"> a safer choice in refractory glaucoma treatment</w:t>
      </w:r>
      <w:r w:rsidR="007F12B2">
        <w:t xml:space="preserve"> </w:t>
      </w:r>
      <w:r w:rsidR="005124DD">
        <w:fldChar w:fldCharType="begin"/>
      </w:r>
      <w:r w:rsidR="005124DD">
        <w:instrText xml:space="preserve"> ADDIN ZOTERO_ITEM CSL_CITATION {"citationID":"553RvyTl","properties":{"formattedCitation":"(Chavez et al., 2025; Souissi et al., 2021)","plainCitation":"(Chavez et al., 2025; Souissi et al., 2021)","noteIndex":0},"citationItems":[{"id":1590,"uris":["http://zotero.org/users/15573016/items/G59QEH4R"],"itemData":{"id":1590,"type":"article-journal","abstract":"Précis:\n              Micropulse transscleral laser treatment (MP-TLT) and continuous wave transscleral cyclophotocoagulation demonstrated comparable intraocular pressure across all follow-ups. MP-TLT was associated with significantly lower risks of ocular complications such as hypotony, prolonged inflammation, and phthisis bulbi.\n            \n            \n              Purpose:\n              To compare the efficacy and safety of micropulse transscleral laser treatment (MP-TLT) and continuous wave transscleral cyclophotocoagulation (CW-TSCPC) for the treatment of glaucoma or ocular hypertension.\n            \n            \n              Methods:\n              \n                A systematic search was conducted in PubMed, Cochrane Library, Embase, and ClinicalTrials.gov. Randomized controlled trials (RCTs) or cohort studies comparing MP-TLT and CW-TSCPC were included. Weighted mean differences (MDs) were computed for continuous endpoints and risk ratios (RRs) for binary endpoints, with 95% confidence intervals (CIs). Heterogeneity was assessed with I\n                2\n                statistics. Software R, version 4.4.0, was used for statistical analyses. Subgroup analyses were conducted on glaucoma types.\n              \n            \n            \n              Results:\n              Eleven studies encompassing 1,054 eyes from 986 patients were included, with 47.4% receiving MP-TLT. There were no significant differences in IOP between CW-TSCPC and MP-TLT at one week, one month, three months, six months, 12 months, and 18 months of follow-up. The MP-TLT group required a significantly higher number of hypotensive medications but displayed significantly reduced risks of overall complications, ocular hypotony, prolonged inflammation, and phthisis bulbi compared to CW-TSCPC.\n            \n            \n              Conclusion:\n              MP-TLT and CW-TSCPC showed similar efficacy in IOP control. However, MP-TLT demonstrated a greater safety profile, suggesting its potential suitability for patients requiring repeat interventions or those with lower tolerance for ocular complications.","container-title":"Journal of Glaucoma","DOI":"10.1097/IJG.0000000000002583","ISSN":"1057-0829, 1536-481X","language":"en","source":"DOI.org (Crossref)","title":"Micropulse Transscleral Laser Treatment vs. Continuous Wave Transscleral Cyclophotocoagulation for the Treatment of Glaucoma or Ocular Hypertension: A Meta-Analysis","title-short":"Micropulse Transscleral Laser Treatment vs. Continuous Wave Transscleral Cyclophotocoagulation for the Treatment of Glaucoma or Ocular Hypertension","URL":"https://journals.lww.com/10.1097/IJG.0000000000002583","author":[{"family":"Chavez","given":"Matheus Pedrotti"},{"family":"Guedes","given":"Guilherme Barroso"},{"family":"Pasqualotto","given":"Eric"},{"family":"De Almeida","given":"Izabela Negrão Frota"},{"family":"Lopes","given":"Lucca Moreira"},{"family":"Prata","given":"Tiago Santos"},{"family":"De Souza","given":"Tiago Tomaz"}],"accessed":{"date-parts":[["2025",6,30]]},"issued":{"date-parts":[["2025",4,29]]},"citation-key":"chavez2025"}},{"id":1714,"uris":["http://zotero.org/users/15573016/items/PM3EIRD7"],"itemData":{"id":1714,"type":"article-journal","abstract":"Abstract\n            \n              Purpose\n              Continuous‐wave cyclophotocoagulation (CW‐CPC) is often preferred to medical and surgical treatments for managing refractory glaucoma. This review summarizes diode CW‐CPC indications, history, histopathology, methods, efficacy and safety. It also provides an overview of the latest data available on micropulse transscleral laser treatment (MP‐TLT) that uses repetitive micropulses of diode laser energy in an off‐and‐on cyclical fashion.\n            \n            \n              Methods\n              A literature review was conducted on transscleral CW‐CPC (CW‐TSCPC), endoscopic CPC (ECP) and MP‐TLT. Relevant series of adult and paediatric patients were included for assessing the procedures.\n            \n            \n              Results\n              Regarding CW‐TCPC, highly variable success rates are reported in the literature, depending on the definition of success, type of underlying glaucoma, energy settings, follow‐up duration and retreatment rates. CW‐CPC often needs to be repeated, especially in paediatric patients. CW‐CPC exposes to risks of inflammation and chronic ocular hypotony or phthisis with irreversible visual loss. CW‐TSCPC has mainly been used in very severe forms of glaucoma, in painful eyes with limited visual potential or after filtering surgery failure. Published data on ECP are more limited but overall good success rates have been reported. Through the direct visualization of the targeted ciliary body in anatomically abnormal eyes, ECP is the preferred surgical procedure in paediatric refractory glaucoma. Complication rates are relatively low after ECP; however, large studies with long‐term follow‐up are needed. ECP may be used in difficult, refractory cases, but it is often used earlier when combined with cataract surgery. Despite limited data on the exact mechanism of action of MP‐TLT and a lack of standardization of laser settings, the first data from heterogeneous case series shows that it has a similar efficacy and a better safety profile compared to CW‐TSCPC in the medium term.\n            \n            \n              Conclusion\n              Although they may lead to sight‐threatening complications, both CW‐TSCPC and ECP seem effective. ECP appears to be superior to CW‐TSCPC in paediatric refractory glaucoma. Unlike ECP combined with cataract surgery, evidence supporting a wider use of CW‐TSCPC and MP‐TLT in earlier stages of neuropathy is lacking. While it now appears that the safety profile of MP‐TLT is superior to that of CW‐CPC, robust prospective comparative studies including homogeneous and well‐defined cohorts of patients are still needed to confirm an at least comparable efficacy in the long term.","container-title":"Acta Ophthalmologica","DOI":"10.1111/aos.14661","ISSN":"1755-375X, 1755-3768","issue":"5","journalAbbreviation":"Acta Ophthalmologica","language":"en","source":"DOI.org (Crossref)","title":"An update on continuous‐wave cyclophotocoagulation (CW‐CPC) and micropulse transscleral laser treatment (MP‐TLT) for adult and paediatric refractory glaucoma","URL":"https://onlinelibrary.wiley.com/doi/10.1111/aos.14661","volume":"99","author":[{"family":"Souissi","given":"Soufiane"},{"family":"Le Mer","given":"Yannick"},{"family":"Metge","given":"Florence"},{"family":"Portmann","given":"Alexandre"},{"family":"Baudouin","given":"Christophe"},{"family":"Labbé","given":"Antoine"},{"family":"Hamard","given":"Pascale"}],"accessed":{"date-parts":[["2025",7,1]]},"issued":{"date-parts":[["2021",8]]},"citation-key":"souissi2021"}}],"schema":"https://github.com/citation-style-language/schema/raw/master/csl-citation.json"} </w:instrText>
      </w:r>
      <w:r w:rsidR="005124DD">
        <w:fldChar w:fldCharType="separate"/>
      </w:r>
      <w:r w:rsidR="005124DD">
        <w:rPr>
          <w:noProof/>
        </w:rPr>
        <w:t>(Chavez et al., 2025; Souissi et al., 2021)</w:t>
      </w:r>
      <w:r w:rsidR="005124DD">
        <w:fldChar w:fldCharType="end"/>
      </w:r>
      <w:r w:rsidR="005124DD">
        <w:t>.</w:t>
      </w:r>
    </w:p>
    <w:p w14:paraId="19D99D02" w14:textId="77777777" w:rsidR="00C140F1" w:rsidRDefault="00C140F1" w:rsidP="003A0B82">
      <w:pPr>
        <w:spacing w:line="360" w:lineRule="auto"/>
      </w:pPr>
    </w:p>
    <w:p w14:paraId="0AA2BA98" w14:textId="77777777" w:rsidR="001E4BC8" w:rsidRPr="000A24E2" w:rsidRDefault="001E4BC8" w:rsidP="003A0B82">
      <w:pPr>
        <w:pStyle w:val="Heading2"/>
      </w:pPr>
      <w:bookmarkStart w:id="44" w:name="_Toc213182584"/>
      <w:r w:rsidRPr="000A24E2">
        <w:rPr>
          <w:rStyle w:val="Strong"/>
          <w:b/>
          <w:bCs w:val="0"/>
          <w:color w:val="0E101A"/>
        </w:rPr>
        <w:t>Complication</w:t>
      </w:r>
      <w:r w:rsidRPr="000A24E2">
        <w:rPr>
          <w:rStyle w:val="Strong"/>
          <w:color w:val="0E101A"/>
        </w:rPr>
        <w:t xml:space="preserve"> </w:t>
      </w:r>
      <w:r w:rsidRPr="000A24E2">
        <w:rPr>
          <w:rStyle w:val="Strong"/>
          <w:b/>
          <w:bCs w:val="0"/>
          <w:color w:val="0E101A"/>
        </w:rPr>
        <w:t>patterns</w:t>
      </w:r>
      <w:bookmarkEnd w:id="44"/>
    </w:p>
    <w:p w14:paraId="1FDD1337" w14:textId="25B00A76" w:rsidR="001E4BC8" w:rsidRDefault="001E4BC8" w:rsidP="003A0B82">
      <w:pPr>
        <w:spacing w:line="360" w:lineRule="auto"/>
        <w:jc w:val="both"/>
      </w:pPr>
      <w:r>
        <w:t>Early complications </w:t>
      </w:r>
      <w:r w:rsidR="00484FDB">
        <w:t>have been</w:t>
      </w:r>
      <w:r>
        <w:t xml:space="preserve"> </w:t>
      </w:r>
      <w:r w:rsidR="007F12B2">
        <w:t xml:space="preserve">generally </w:t>
      </w:r>
      <w:r w:rsidR="00484FDB">
        <w:t>linked</w:t>
      </w:r>
      <w:r>
        <w:rPr>
          <w:rStyle w:val="apple-converted-space"/>
          <w:color w:val="0E101A"/>
        </w:rPr>
        <w:t> </w:t>
      </w:r>
      <w:r>
        <w:t>to acute physiologic disruption</w:t>
      </w:r>
      <w:r w:rsidR="00484FDB">
        <w:t xml:space="preserve"> of aqueous drainage</w:t>
      </w:r>
      <w:r w:rsidR="007F12B2">
        <w:t>,</w:t>
      </w:r>
      <w:r>
        <w:t xml:space="preserve"> </w:t>
      </w:r>
      <w:r w:rsidR="00484FDB">
        <w:t>leading to</w:t>
      </w:r>
      <w:r>
        <w:t xml:space="preserve"> pressure imbalance (over-</w:t>
      </w:r>
      <w:r w:rsidR="007F12B2">
        <w:t xml:space="preserve"> or under</w:t>
      </w:r>
      <w:r>
        <w:t xml:space="preserve">filtration), bleeding after </w:t>
      </w:r>
      <w:r w:rsidR="00484FDB">
        <w:t>surgical manipu</w:t>
      </w:r>
      <w:r w:rsidR="00BF27A3">
        <w:t>lation, and local inflammatory reaction from tissue manipulation or thermal energy</w:t>
      </w:r>
      <w:r>
        <w:t>.</w:t>
      </w:r>
      <w:r>
        <w:rPr>
          <w:rStyle w:val="apple-converted-space"/>
          <w:color w:val="0E101A"/>
        </w:rPr>
        <w:t> </w:t>
      </w:r>
      <w:r w:rsidR="00BF27A3">
        <w:t>Early complications were</w:t>
      </w:r>
      <w:r>
        <w:t> usually self-limited and</w:t>
      </w:r>
      <w:r>
        <w:rPr>
          <w:rStyle w:val="apple-converted-space"/>
          <w:color w:val="0E101A"/>
        </w:rPr>
        <w:t> </w:t>
      </w:r>
      <w:r>
        <w:t>only need</w:t>
      </w:r>
      <w:r w:rsidR="00BF27A3">
        <w:t>ed</w:t>
      </w:r>
      <w:r w:rsidR="00BF27A3">
        <w:rPr>
          <w:rStyle w:val="apple-converted-space"/>
          <w:color w:val="0E101A"/>
        </w:rPr>
        <w:t xml:space="preserve"> medical intervention in selected cases</w:t>
      </w:r>
      <w:r>
        <w:t>.</w:t>
      </w:r>
    </w:p>
    <w:p w14:paraId="7F36EF15" w14:textId="38035087" w:rsidR="001E4BC8" w:rsidRDefault="001E4BC8" w:rsidP="002747E6">
      <w:pPr>
        <w:spacing w:line="360" w:lineRule="auto"/>
        <w:ind w:firstLine="576"/>
        <w:jc w:val="both"/>
      </w:pPr>
      <w:r>
        <w:t>Late complications </w:t>
      </w:r>
      <w:r w:rsidR="00BF27A3">
        <w:t>were</w:t>
      </w:r>
      <w:r>
        <w:t xml:space="preserve"> often</w:t>
      </w:r>
      <w:r>
        <w:rPr>
          <w:rStyle w:val="apple-converted-space"/>
          <w:color w:val="0E101A"/>
        </w:rPr>
        <w:t> </w:t>
      </w:r>
      <w:r>
        <w:t>linked</w:t>
      </w:r>
      <w:r>
        <w:rPr>
          <w:rStyle w:val="apple-converted-space"/>
          <w:color w:val="0E101A"/>
        </w:rPr>
        <w:t> </w:t>
      </w:r>
      <w:r>
        <w:t>t</w:t>
      </w:r>
      <w:r w:rsidR="00BF27A3">
        <w:t xml:space="preserve">o postsurgical </w:t>
      </w:r>
      <w:r>
        <w:t>structural changes</w:t>
      </w:r>
      <w:r>
        <w:rPr>
          <w:rStyle w:val="apple-converted-space"/>
          <w:color w:val="0E101A"/>
        </w:rPr>
        <w:t> </w:t>
      </w:r>
      <w:r w:rsidR="00BF27A3">
        <w:t xml:space="preserve">and </w:t>
      </w:r>
      <w:r>
        <w:t>wound healing</w:t>
      </w:r>
      <w:r w:rsidR="00BF27A3">
        <w:t xml:space="preserve">, influencing tissue </w:t>
      </w:r>
      <w:r>
        <w:t>remodelling</w:t>
      </w:r>
      <w:r w:rsidR="00A55C45">
        <w:t>. This further affected</w:t>
      </w:r>
      <w:r>
        <w:rPr>
          <w:rStyle w:val="apple-converted-space"/>
          <w:color w:val="0E101A"/>
        </w:rPr>
        <w:t> </w:t>
      </w:r>
      <w:r w:rsidR="00BF27A3">
        <w:rPr>
          <w:rStyle w:val="apple-converted-space"/>
          <w:color w:val="0E101A"/>
        </w:rPr>
        <w:t xml:space="preserve">the </w:t>
      </w:r>
      <w:r>
        <w:t>patency</w:t>
      </w:r>
      <w:r>
        <w:rPr>
          <w:rStyle w:val="apple-converted-space"/>
          <w:color w:val="0E101A"/>
        </w:rPr>
        <w:t> </w:t>
      </w:r>
      <w:r>
        <w:t>of</w:t>
      </w:r>
      <w:r>
        <w:rPr>
          <w:rStyle w:val="apple-converted-space"/>
          <w:color w:val="0E101A"/>
        </w:rPr>
        <w:t> </w:t>
      </w:r>
      <w:r w:rsidR="007F12B2">
        <w:rPr>
          <w:rStyle w:val="apple-converted-space"/>
          <w:color w:val="0E101A"/>
        </w:rPr>
        <w:t xml:space="preserve">the </w:t>
      </w:r>
      <w:r w:rsidR="00A55C45">
        <w:rPr>
          <w:rStyle w:val="apple-converted-space"/>
          <w:color w:val="0E101A"/>
        </w:rPr>
        <w:t xml:space="preserve">created </w:t>
      </w:r>
      <w:r w:rsidR="007F12B2">
        <w:rPr>
          <w:rStyle w:val="apple-converted-space"/>
          <w:color w:val="0E101A"/>
        </w:rPr>
        <w:t xml:space="preserve">drainage </w:t>
      </w:r>
      <w:r>
        <w:t>pathway</w:t>
      </w:r>
      <w:r w:rsidR="007F12B2">
        <w:rPr>
          <w:rStyle w:val="apple-converted-space"/>
          <w:color w:val="0E101A"/>
        </w:rPr>
        <w:t xml:space="preserve"> </w:t>
      </w:r>
      <w:r>
        <w:t>and</w:t>
      </w:r>
      <w:r>
        <w:rPr>
          <w:rStyle w:val="apple-converted-space"/>
          <w:color w:val="0E101A"/>
        </w:rPr>
        <w:t> </w:t>
      </w:r>
      <w:r>
        <w:t>device functioning/positioning.</w:t>
      </w:r>
      <w:r>
        <w:rPr>
          <w:rStyle w:val="apple-converted-space"/>
          <w:color w:val="0E101A"/>
        </w:rPr>
        <w:t> </w:t>
      </w:r>
      <w:r w:rsidR="00A55C45">
        <w:t>Late</w:t>
      </w:r>
      <w:r w:rsidR="00BF27A3">
        <w:t xml:space="preserve"> complications were often</w:t>
      </w:r>
      <w:r>
        <w:t> progressive</w:t>
      </w:r>
      <w:r w:rsidR="00BF27A3">
        <w:t xml:space="preserve"> and eventually vision-threatening</w:t>
      </w:r>
      <w:r>
        <w:t> without targeted intervention.</w:t>
      </w:r>
    </w:p>
    <w:p w14:paraId="26B08DCE" w14:textId="77777777" w:rsidR="00C140F1" w:rsidRDefault="00C140F1" w:rsidP="003A0B82">
      <w:pPr>
        <w:spacing w:line="360" w:lineRule="auto"/>
      </w:pPr>
    </w:p>
    <w:p w14:paraId="797EEB1E" w14:textId="77777777" w:rsidR="001E4BC8" w:rsidRPr="000A24E2" w:rsidRDefault="001E4BC8" w:rsidP="003A0B82">
      <w:pPr>
        <w:pStyle w:val="Heading2"/>
        <w:rPr>
          <w:bCs/>
        </w:rPr>
      </w:pPr>
      <w:bookmarkStart w:id="45" w:name="_Toc213182585"/>
      <w:r w:rsidRPr="000A24E2">
        <w:rPr>
          <w:rStyle w:val="Strong"/>
          <w:b/>
          <w:bCs w:val="0"/>
          <w:color w:val="0E101A"/>
        </w:rPr>
        <w:t>Risk stratification for procedure safety</w:t>
      </w:r>
      <w:bookmarkEnd w:id="45"/>
    </w:p>
    <w:p w14:paraId="150ECCB8" w14:textId="52A8123C" w:rsidR="001E4BC8" w:rsidRDefault="001E4BC8" w:rsidP="003A0B82">
      <w:pPr>
        <w:spacing w:line="360" w:lineRule="auto"/>
        <w:jc w:val="both"/>
      </w:pPr>
      <w:r>
        <w:t>The lowest risk of vision-threatening complications</w:t>
      </w:r>
      <w:r>
        <w:rPr>
          <w:rStyle w:val="apple-converted-space"/>
          <w:color w:val="0E101A"/>
        </w:rPr>
        <w:t> </w:t>
      </w:r>
      <w:r w:rsidR="00BF27A3">
        <w:t>has been reported after</w:t>
      </w:r>
      <w:r>
        <w:t xml:space="preserve"> </w:t>
      </w:r>
      <w:r w:rsidR="00BF27A3">
        <w:t>Laser trabeculoplasties (especially SLT)</w:t>
      </w:r>
      <w:r>
        <w:t xml:space="preserve"> and MIGS.</w:t>
      </w:r>
      <w:r>
        <w:rPr>
          <w:rStyle w:val="apple-converted-space"/>
          <w:color w:val="0E101A"/>
        </w:rPr>
        <w:t> </w:t>
      </w:r>
      <w:r w:rsidR="00A55C45">
        <w:t>They</w:t>
      </w:r>
      <w:r>
        <w:t xml:space="preserve"> present</w:t>
      </w:r>
      <w:r w:rsidR="00BF27A3">
        <w:t>ed</w:t>
      </w:r>
      <w:r>
        <w:t xml:space="preserve"> mainly </w:t>
      </w:r>
      <w:r w:rsidR="00BF27A3">
        <w:t xml:space="preserve">with </w:t>
      </w:r>
      <w:r>
        <w:t>mild, transient</w:t>
      </w:r>
      <w:r>
        <w:rPr>
          <w:rStyle w:val="apple-converted-space"/>
          <w:color w:val="0E101A"/>
        </w:rPr>
        <w:t> </w:t>
      </w:r>
      <w:r>
        <w:t>complication</w:t>
      </w:r>
      <w:r w:rsidR="00BF27A3">
        <w:t>s</w:t>
      </w:r>
      <w:r>
        <w:t>, not posing any</w:t>
      </w:r>
      <w:r>
        <w:rPr>
          <w:rStyle w:val="apple-converted-space"/>
          <w:color w:val="0E101A"/>
        </w:rPr>
        <w:t> </w:t>
      </w:r>
      <w:r>
        <w:t>long</w:t>
      </w:r>
      <w:r w:rsidR="00BF27A3">
        <w:t>-</w:t>
      </w:r>
      <w:r>
        <w:t>term</w:t>
      </w:r>
      <w:r>
        <w:rPr>
          <w:rStyle w:val="apple-converted-space"/>
          <w:color w:val="0E101A"/>
        </w:rPr>
        <w:t> </w:t>
      </w:r>
      <w:r>
        <w:t>risk</w:t>
      </w:r>
      <w:r w:rsidR="00A55C45">
        <w:t>s</w:t>
      </w:r>
      <w:r>
        <w:t>.</w:t>
      </w:r>
    </w:p>
    <w:p w14:paraId="73D07B31" w14:textId="1D380E1C" w:rsidR="001E4BC8" w:rsidRDefault="001E4BC8" w:rsidP="002747E6">
      <w:pPr>
        <w:spacing w:line="360" w:lineRule="auto"/>
        <w:ind w:firstLine="720"/>
        <w:jc w:val="both"/>
      </w:pPr>
      <w:r>
        <w:t>Non-penetrating</w:t>
      </w:r>
      <w:r>
        <w:rPr>
          <w:rStyle w:val="apple-converted-space"/>
          <w:color w:val="0E101A"/>
        </w:rPr>
        <w:t> </w:t>
      </w:r>
      <w:r>
        <w:t>and</w:t>
      </w:r>
      <w:r>
        <w:rPr>
          <w:rStyle w:val="apple-converted-space"/>
          <w:color w:val="0E101A"/>
        </w:rPr>
        <w:t> </w:t>
      </w:r>
      <w:r>
        <w:t>micro-invasive filtration surgeries demonstrate</w:t>
      </w:r>
      <w:r w:rsidR="00BF27A3">
        <w:t>d</w:t>
      </w:r>
      <w:r>
        <w:rPr>
          <w:rStyle w:val="apple-converted-space"/>
          <w:color w:val="0E101A"/>
        </w:rPr>
        <w:t> </w:t>
      </w:r>
      <w:r>
        <w:t>a</w:t>
      </w:r>
      <w:r>
        <w:rPr>
          <w:rStyle w:val="apple-converted-space"/>
          <w:color w:val="0E101A"/>
        </w:rPr>
        <w:t> </w:t>
      </w:r>
      <w:r>
        <w:t>moderate safety</w:t>
      </w:r>
      <w:r w:rsidR="00BF27A3">
        <w:t xml:space="preserve"> profile</w:t>
      </w:r>
      <w:r>
        <w:t>.</w:t>
      </w:r>
      <w:r>
        <w:rPr>
          <w:rStyle w:val="apple-converted-space"/>
          <w:color w:val="0E101A"/>
        </w:rPr>
        <w:t> </w:t>
      </w:r>
      <w:r w:rsidR="00BF27A3">
        <w:t>Th</w:t>
      </w:r>
      <w:r w:rsidR="00A55C45">
        <w:t>e</w:t>
      </w:r>
      <w:r w:rsidR="00BF27A3">
        <w:t xml:space="preserve">se procedures required greater </w:t>
      </w:r>
      <w:r>
        <w:t>maintenance (goniopuncture/needling, 5-FU injection)</w:t>
      </w:r>
      <w:r>
        <w:rPr>
          <w:rStyle w:val="apple-converted-space"/>
          <w:color w:val="0E101A"/>
        </w:rPr>
        <w:t>  </w:t>
      </w:r>
      <w:r>
        <w:t>to achieve</w:t>
      </w:r>
      <w:r>
        <w:rPr>
          <w:rStyle w:val="apple-converted-space"/>
          <w:color w:val="0E101A"/>
        </w:rPr>
        <w:t> </w:t>
      </w:r>
      <w:r>
        <w:t>long</w:t>
      </w:r>
      <w:r w:rsidR="0010131E">
        <w:t>-term</w:t>
      </w:r>
      <w:r>
        <w:t xml:space="preserve"> treatment success.</w:t>
      </w:r>
      <w:r>
        <w:rPr>
          <w:rStyle w:val="apple-converted-space"/>
          <w:color w:val="0E101A"/>
        </w:rPr>
        <w:t> </w:t>
      </w:r>
      <w:r>
        <w:t>However, vision-threatening events</w:t>
      </w:r>
      <w:r>
        <w:rPr>
          <w:rStyle w:val="apple-converted-space"/>
          <w:color w:val="0E101A"/>
        </w:rPr>
        <w:t> </w:t>
      </w:r>
      <w:r w:rsidR="00BF27A3">
        <w:t>have not been</w:t>
      </w:r>
      <w:r>
        <w:t xml:space="preserve"> frequently reported</w:t>
      </w:r>
      <w:r w:rsidR="007F12B2">
        <w:t>.</w:t>
      </w:r>
    </w:p>
    <w:p w14:paraId="20130A87" w14:textId="38E29AD2" w:rsidR="001E4BC8" w:rsidRDefault="001E4BC8" w:rsidP="003A0B82">
      <w:pPr>
        <w:spacing w:line="360" w:lineRule="auto"/>
        <w:jc w:val="both"/>
      </w:pPr>
      <w:r>
        <w:t>Penetrating surgeries show</w:t>
      </w:r>
      <w:r w:rsidR="00BF27A3">
        <w:t>ed</w:t>
      </w:r>
      <w:r>
        <w:t xml:space="preserve"> a higher incidence of cataract and corneal complications, posing a</w:t>
      </w:r>
      <w:r w:rsidR="00BF27A3">
        <w:t xml:space="preserve"> potential</w:t>
      </w:r>
      <w:r>
        <w:t xml:space="preserve"> threat</w:t>
      </w:r>
      <w:r>
        <w:rPr>
          <w:rStyle w:val="apple-converted-space"/>
          <w:color w:val="0E101A"/>
        </w:rPr>
        <w:t> </w:t>
      </w:r>
      <w:r w:rsidR="00BF27A3">
        <w:rPr>
          <w:rStyle w:val="apple-converted-space"/>
          <w:color w:val="0E101A"/>
        </w:rPr>
        <w:t>to</w:t>
      </w:r>
      <w:r>
        <w:rPr>
          <w:rStyle w:val="apple-converted-space"/>
          <w:color w:val="0E101A"/>
        </w:rPr>
        <w:t> </w:t>
      </w:r>
      <w:r>
        <w:t>vision if they go unrecognised. </w:t>
      </w:r>
    </w:p>
    <w:p w14:paraId="3CBC4BED" w14:textId="24A57FCC" w:rsidR="009061B6" w:rsidRDefault="001E4BC8" w:rsidP="002747E6">
      <w:pPr>
        <w:spacing w:line="360" w:lineRule="auto"/>
        <w:ind w:firstLine="432"/>
        <w:jc w:val="both"/>
      </w:pPr>
      <w:r>
        <w:t>The highest</w:t>
      </w:r>
      <w:r>
        <w:rPr>
          <w:rStyle w:val="apple-converted-space"/>
          <w:color w:val="0E101A"/>
        </w:rPr>
        <w:t> </w:t>
      </w:r>
      <w:r>
        <w:t>risk</w:t>
      </w:r>
      <w:r w:rsidR="00BF27A3">
        <w:t xml:space="preserve"> of vision-threatening postoperative complications</w:t>
      </w:r>
      <w:r>
        <w:t xml:space="preserve"> </w:t>
      </w:r>
      <w:r w:rsidR="00BF27A3">
        <w:t>was</w:t>
      </w:r>
      <w:r>
        <w:t xml:space="preserve"> found</w:t>
      </w:r>
      <w:r>
        <w:rPr>
          <w:rStyle w:val="apple-converted-space"/>
          <w:color w:val="0E101A"/>
        </w:rPr>
        <w:t> </w:t>
      </w:r>
      <w:r>
        <w:t>after CW-TS-CPC.</w:t>
      </w:r>
      <w:r>
        <w:rPr>
          <w:rStyle w:val="apple-converted-space"/>
          <w:color w:val="0E101A"/>
        </w:rPr>
        <w:t> </w:t>
      </w:r>
      <w:r w:rsidR="00BF27A3">
        <w:t xml:space="preserve">Due to the inhibition of aqueous production, this surgical modality had great effect </w:t>
      </w:r>
      <w:r>
        <w:t>on IOP</w:t>
      </w:r>
      <w:r w:rsidR="00BF27A3">
        <w:t xml:space="preserve"> reduction</w:t>
      </w:r>
      <w:r>
        <w:t>,</w:t>
      </w:r>
      <w:r>
        <w:rPr>
          <w:rStyle w:val="apple-converted-space"/>
          <w:color w:val="0E101A"/>
        </w:rPr>
        <w:t> </w:t>
      </w:r>
      <w:r w:rsidR="00BF27A3">
        <w:t>making</w:t>
      </w:r>
      <w:r>
        <w:rPr>
          <w:rStyle w:val="apple-converted-space"/>
          <w:color w:val="0E101A"/>
        </w:rPr>
        <w:t> </w:t>
      </w:r>
      <w:r>
        <w:t xml:space="preserve">it a useful </w:t>
      </w:r>
      <w:r w:rsidR="00A55C45">
        <w:t>tool</w:t>
      </w:r>
      <w:r>
        <w:t xml:space="preserve"> in the </w:t>
      </w:r>
      <w:r w:rsidR="00A55C45">
        <w:t>management</w:t>
      </w:r>
      <w:r>
        <w:t xml:space="preserve"> of advanced, refractory glaucoma.</w:t>
      </w:r>
      <w:r>
        <w:rPr>
          <w:rStyle w:val="apple-converted-space"/>
          <w:color w:val="0E101A"/>
        </w:rPr>
        <w:t> </w:t>
      </w:r>
      <w:r>
        <w:t>Simultaneously</w:t>
      </w:r>
      <w:r w:rsidR="007F12B2">
        <w:t>,</w:t>
      </w:r>
      <w:r>
        <w:rPr>
          <w:rStyle w:val="apple-converted-space"/>
          <w:color w:val="0E101A"/>
        </w:rPr>
        <w:t> </w:t>
      </w:r>
      <w:r w:rsidR="00BF27A3">
        <w:rPr>
          <w:rStyle w:val="apple-converted-space"/>
          <w:color w:val="0E101A"/>
        </w:rPr>
        <w:t xml:space="preserve">it has been shown that </w:t>
      </w:r>
      <w:r w:rsidR="00BF27A3">
        <w:t>CW-TSCPC has a higher</w:t>
      </w:r>
      <w:r>
        <w:t xml:space="preserve"> risk of prolonged hypotony and phthisis due to a severe IOP reduction. </w:t>
      </w:r>
      <w:r w:rsidR="00BF27A3">
        <w:t xml:space="preserve">On the contrary, </w:t>
      </w:r>
      <w:r>
        <w:t>MP-TSCPC has</w:t>
      </w:r>
      <w:r>
        <w:rPr>
          <w:rStyle w:val="apple-converted-space"/>
          <w:color w:val="0E101A"/>
        </w:rPr>
        <w:t> </w:t>
      </w:r>
      <w:r>
        <w:t>been</w:t>
      </w:r>
      <w:r w:rsidR="00D3424B">
        <w:t xml:space="preserve"> </w:t>
      </w:r>
      <w:r>
        <w:t>shown</w:t>
      </w:r>
      <w:r>
        <w:rPr>
          <w:rStyle w:val="apple-converted-space"/>
          <w:color w:val="0E101A"/>
        </w:rPr>
        <w:t> </w:t>
      </w:r>
      <w:r>
        <w:t>to</w:t>
      </w:r>
      <w:r w:rsidR="005124DD">
        <w:t xml:space="preserve"> </w:t>
      </w:r>
      <w:r>
        <w:t>achieve</w:t>
      </w:r>
      <w:r>
        <w:rPr>
          <w:rStyle w:val="apple-converted-space"/>
          <w:color w:val="0E101A"/>
        </w:rPr>
        <w:t> </w:t>
      </w:r>
      <w:r>
        <w:t>similar</w:t>
      </w:r>
      <w:r>
        <w:rPr>
          <w:rStyle w:val="apple-converted-space"/>
          <w:color w:val="0E101A"/>
        </w:rPr>
        <w:t> </w:t>
      </w:r>
      <w:r>
        <w:t>IOP results, but with</w:t>
      </w:r>
      <w:r w:rsidR="00BF27A3">
        <w:t xml:space="preserve"> </w:t>
      </w:r>
      <w:r w:rsidR="00850231">
        <w:t>fewer</w:t>
      </w:r>
      <w:r w:rsidR="00BF27A3">
        <w:t xml:space="preserve"> </w:t>
      </w:r>
      <w:r w:rsidR="00850231">
        <w:t xml:space="preserve">cases of reported hypotony and sequelae, resulting in </w:t>
      </w:r>
      <w:r>
        <w:t>an</w:t>
      </w:r>
      <w:r>
        <w:rPr>
          <w:rStyle w:val="apple-converted-space"/>
          <w:color w:val="0E101A"/>
        </w:rPr>
        <w:t> </w:t>
      </w:r>
      <w:r>
        <w:t>overall</w:t>
      </w:r>
      <w:r>
        <w:rPr>
          <w:rStyle w:val="apple-converted-space"/>
          <w:color w:val="0E101A"/>
        </w:rPr>
        <w:t> </w:t>
      </w:r>
      <w:r>
        <w:t>better</w:t>
      </w:r>
      <w:r>
        <w:rPr>
          <w:rStyle w:val="apple-converted-space"/>
          <w:color w:val="0E101A"/>
        </w:rPr>
        <w:t> </w:t>
      </w:r>
      <w:r>
        <w:t>safety profile.</w:t>
      </w:r>
    </w:p>
    <w:p w14:paraId="1B087E21" w14:textId="77777777" w:rsidR="009061B6" w:rsidRDefault="009061B6" w:rsidP="003A0B82">
      <w:pPr>
        <w:spacing w:line="360" w:lineRule="auto"/>
      </w:pPr>
    </w:p>
    <w:p w14:paraId="6D660E7E" w14:textId="77777777" w:rsidR="00C04E2A" w:rsidRDefault="00C04E2A" w:rsidP="003A0B82">
      <w:pPr>
        <w:spacing w:line="360" w:lineRule="auto"/>
      </w:pPr>
    </w:p>
    <w:p w14:paraId="09085005" w14:textId="0D25EC9C" w:rsidR="00D560B1" w:rsidRDefault="00EA50B5" w:rsidP="003A0B82">
      <w:pPr>
        <w:pStyle w:val="Heading1"/>
        <w:ind w:right="0"/>
      </w:pPr>
      <w:bookmarkStart w:id="46" w:name="_Toc213182586"/>
      <w:r>
        <w:t>Clinical Takeaways</w:t>
      </w:r>
      <w:bookmarkEnd w:id="46"/>
    </w:p>
    <w:p w14:paraId="6F70D7AF" w14:textId="3C8A184F" w:rsidR="00850231" w:rsidRDefault="00850231" w:rsidP="003A0B82">
      <w:pPr>
        <w:spacing w:line="360" w:lineRule="auto"/>
        <w:jc w:val="both"/>
      </w:pPr>
      <w:r>
        <w:t>In this chapter</w:t>
      </w:r>
      <w:r w:rsidR="00122927">
        <w:t>,</w:t>
      </w:r>
      <w:r>
        <w:t xml:space="preserve"> the</w:t>
      </w:r>
      <w:r w:rsidR="00122927">
        <w:t xml:space="preserve"> </w:t>
      </w:r>
      <w:r w:rsidR="003A0B82">
        <w:t>literature-reported</w:t>
      </w:r>
      <w:r w:rsidR="00122927">
        <w:t xml:space="preserve"> results will be applied to a clinical setting, focusing on how knowledge of postoperative complications can influence the postoperative period and its management. </w:t>
      </w:r>
    </w:p>
    <w:p w14:paraId="481BA0A5" w14:textId="77777777" w:rsidR="00CA45D8" w:rsidRDefault="00CA45D8" w:rsidP="003A0B82">
      <w:pPr>
        <w:spacing w:line="360" w:lineRule="auto"/>
      </w:pPr>
    </w:p>
    <w:p w14:paraId="46815CF4" w14:textId="77777777" w:rsidR="00CA45D8" w:rsidRDefault="00CA45D8" w:rsidP="003A0B82">
      <w:pPr>
        <w:spacing w:line="360" w:lineRule="auto"/>
      </w:pPr>
      <w:r>
        <w:rPr>
          <w:rStyle w:val="Strong"/>
          <w:color w:val="0E101A"/>
        </w:rPr>
        <w:t>Matching</w:t>
      </w:r>
      <w:r w:rsidRPr="00735D56">
        <w:rPr>
          <w:rStyle w:val="Strong"/>
          <w:color w:val="0E101A"/>
        </w:rPr>
        <w:t xml:space="preserve"> procedure to </w:t>
      </w:r>
      <w:r>
        <w:rPr>
          <w:rStyle w:val="Strong"/>
          <w:color w:val="0E101A"/>
        </w:rPr>
        <w:t xml:space="preserve">the </w:t>
      </w:r>
      <w:r w:rsidRPr="00735D56">
        <w:rPr>
          <w:rStyle w:val="Strong"/>
          <w:color w:val="0E101A"/>
        </w:rPr>
        <w:t>desired target IOP</w:t>
      </w:r>
    </w:p>
    <w:p w14:paraId="6BD7D820" w14:textId="5D5C297F" w:rsidR="00CA45D8" w:rsidRDefault="00CA45D8" w:rsidP="003A0B82">
      <w:pPr>
        <w:pStyle w:val="ListParagraph"/>
        <w:numPr>
          <w:ilvl w:val="0"/>
          <w:numId w:val="16"/>
        </w:numPr>
      </w:pPr>
      <w:r>
        <w:t>Mild–moderate POAG: SLT or MIGS. Consider non-penetrating surgeries</w:t>
      </w:r>
      <w:r w:rsidR="00A55C45">
        <w:t xml:space="preserve"> </w:t>
      </w:r>
      <w:r>
        <w:t>if</w:t>
      </w:r>
      <w:r w:rsidRPr="009061B6">
        <w:rPr>
          <w:rStyle w:val="apple-converted-space"/>
          <w:color w:val="0E101A"/>
        </w:rPr>
        <w:t> </w:t>
      </w:r>
      <w:r>
        <w:t>larger</w:t>
      </w:r>
      <w:r w:rsidRPr="009061B6">
        <w:rPr>
          <w:rStyle w:val="apple-converted-space"/>
          <w:color w:val="0E101A"/>
        </w:rPr>
        <w:t> </w:t>
      </w:r>
      <w:r>
        <w:t xml:space="preserve">IOP </w:t>
      </w:r>
      <w:r w:rsidR="00A55C45">
        <w:t xml:space="preserve">reduction </w:t>
      </w:r>
      <w:r>
        <w:t xml:space="preserve">is needed </w:t>
      </w:r>
      <w:bookmarkStart w:id="47" w:name="_Hlk212798023"/>
      <w:r>
        <w:fldChar w:fldCharType="begin"/>
      </w:r>
      <w:r>
        <w:instrText xml:space="preserve"> ADDIN ZOTERO_ITEM CSL_CITATION {"citationID":"1v5SnFGp","properties":{"formattedCitation":"(Gedde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fldChar w:fldCharType="separate"/>
      </w:r>
      <w:r>
        <w:rPr>
          <w:noProof/>
        </w:rPr>
        <w:t>(Gedde et al., 2021b)</w:t>
      </w:r>
      <w:r>
        <w:fldChar w:fldCharType="end"/>
      </w:r>
      <w:bookmarkEnd w:id="47"/>
      <w:r>
        <w:t xml:space="preserve">. </w:t>
      </w:r>
    </w:p>
    <w:p w14:paraId="528B3B82" w14:textId="77777777" w:rsidR="00CA45D8" w:rsidRDefault="00CA45D8" w:rsidP="003A0B82">
      <w:pPr>
        <w:pStyle w:val="ListParagraph"/>
        <w:numPr>
          <w:ilvl w:val="0"/>
          <w:numId w:val="16"/>
        </w:numPr>
      </w:pPr>
      <w:r>
        <w:t xml:space="preserve">Moderate-severe POAG: trabeculectomy or tubes; MIFS to decrease morbidity compared with penetrating procedures  </w:t>
      </w:r>
      <w:r>
        <w:fldChar w:fldCharType="begin"/>
      </w:r>
      <w:r>
        <w:instrText xml:space="preserve"> ADDIN ZOTERO_ITEM CSL_CITATION {"citationID":"rsmtsQnE","properties":{"formattedCitation":"(Gedde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fldChar w:fldCharType="separate"/>
      </w:r>
      <w:r>
        <w:rPr>
          <w:noProof/>
        </w:rPr>
        <w:t>(Gedde et al., 2021b)</w:t>
      </w:r>
      <w:r>
        <w:fldChar w:fldCharType="end"/>
      </w:r>
      <w:r>
        <w:t xml:space="preserve">. </w:t>
      </w:r>
    </w:p>
    <w:p w14:paraId="4276DC0B" w14:textId="77777777" w:rsidR="00CA45D8" w:rsidRDefault="00CA45D8" w:rsidP="003A0B82">
      <w:pPr>
        <w:pStyle w:val="ListParagraph"/>
        <w:numPr>
          <w:ilvl w:val="0"/>
          <w:numId w:val="16"/>
        </w:numPr>
      </w:pPr>
      <w:r>
        <w:t>Advanced, refractory glaucoma: MP-TSCPC.</w:t>
      </w:r>
    </w:p>
    <w:p w14:paraId="7A1896C9" w14:textId="77777777" w:rsidR="00CA45D8" w:rsidRDefault="00CA45D8" w:rsidP="003A0B82">
      <w:pPr>
        <w:spacing w:line="360" w:lineRule="auto"/>
      </w:pPr>
    </w:p>
    <w:p w14:paraId="13B18B78" w14:textId="207EFAB3" w:rsidR="00CA45D8" w:rsidRDefault="00CA45D8" w:rsidP="003A0B82">
      <w:pPr>
        <w:spacing w:line="360" w:lineRule="auto"/>
        <w:rPr>
          <w:b/>
          <w:bCs/>
        </w:rPr>
      </w:pPr>
      <w:r>
        <w:rPr>
          <w:b/>
          <w:bCs/>
        </w:rPr>
        <w:t>Patient eduction</w:t>
      </w:r>
    </w:p>
    <w:p w14:paraId="6DC75916" w14:textId="1C72C93C" w:rsidR="00CA45D8" w:rsidRDefault="00CA45D8" w:rsidP="003A0B82">
      <w:pPr>
        <w:pStyle w:val="ListParagraph"/>
        <w:numPr>
          <w:ilvl w:val="0"/>
          <w:numId w:val="17"/>
        </w:numPr>
      </w:pPr>
      <w:r>
        <w:t>Educate the patient on possible, commonly occurring postoperative complications.</w:t>
      </w:r>
    </w:p>
    <w:p w14:paraId="420DDBE5" w14:textId="77777777" w:rsidR="00122927" w:rsidRDefault="00122927" w:rsidP="003A0B82">
      <w:pPr>
        <w:spacing w:line="360" w:lineRule="auto"/>
      </w:pPr>
    </w:p>
    <w:p w14:paraId="28BB311C" w14:textId="48046551" w:rsidR="004F0A9A" w:rsidRDefault="00CA45D8" w:rsidP="003A0B82">
      <w:pPr>
        <w:spacing w:line="360" w:lineRule="auto"/>
      </w:pPr>
      <w:r>
        <w:rPr>
          <w:rStyle w:val="Strong"/>
          <w:color w:val="0E101A"/>
        </w:rPr>
        <w:t>Proactive</w:t>
      </w:r>
      <w:r w:rsidR="004F0A9A">
        <w:rPr>
          <w:rStyle w:val="Strong"/>
          <w:color w:val="0E101A"/>
        </w:rPr>
        <w:t xml:space="preserve"> s</w:t>
      </w:r>
      <w:r w:rsidR="004F0A9A" w:rsidRPr="00735D56">
        <w:rPr>
          <w:rStyle w:val="Strong"/>
          <w:color w:val="0E101A"/>
        </w:rPr>
        <w:t xml:space="preserve">urveillance for </w:t>
      </w:r>
      <w:r w:rsidR="004F0A9A">
        <w:rPr>
          <w:rStyle w:val="Strong"/>
          <w:color w:val="0E101A"/>
        </w:rPr>
        <w:t xml:space="preserve">postoperative </w:t>
      </w:r>
      <w:r w:rsidR="004F0A9A" w:rsidRPr="00735D56">
        <w:rPr>
          <w:rStyle w:val="Strong"/>
          <w:color w:val="0E101A"/>
        </w:rPr>
        <w:t>complications</w:t>
      </w:r>
    </w:p>
    <w:p w14:paraId="3057BFB0" w14:textId="77777777" w:rsidR="004F0A9A" w:rsidRDefault="004F0A9A" w:rsidP="003A0B82">
      <w:pPr>
        <w:pStyle w:val="ListParagraph"/>
        <w:numPr>
          <w:ilvl w:val="0"/>
          <w:numId w:val="17"/>
        </w:numPr>
      </w:pPr>
      <w:r>
        <w:t xml:space="preserve">First 4–6 weeks: detect hypotony/flat AC/effusions (trab/tubes/MIFS), hyphema/IOP spikes (MIGS), Day-1 IOP spikes after laser (SLT/ALT), pain/inflammation after CPC </w:t>
      </w:r>
      <w:r>
        <w:fldChar w:fldCharType="begin"/>
      </w:r>
      <w:r>
        <w:instrText xml:space="preserve"> ADDIN ZOTERO_ITEM CSL_CITATION {"citationID":"2luGyEJ8","properties":{"formattedCitation":"(Gedde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fldChar w:fldCharType="separate"/>
      </w:r>
      <w:r>
        <w:rPr>
          <w:noProof/>
        </w:rPr>
        <w:t>(Gedde et al., 2021b)</w:t>
      </w:r>
      <w:r>
        <w:fldChar w:fldCharType="end"/>
      </w:r>
      <w:r>
        <w:t xml:space="preserve">. </w:t>
      </w:r>
    </w:p>
    <w:p w14:paraId="0A342186" w14:textId="33B0D058" w:rsidR="00CA45D8" w:rsidRDefault="004F0A9A" w:rsidP="003A0B82">
      <w:pPr>
        <w:pStyle w:val="ListParagraph"/>
        <w:numPr>
          <w:ilvl w:val="0"/>
          <w:numId w:val="17"/>
        </w:numPr>
      </w:pPr>
      <w:r>
        <w:t>After 3–6 months and long term: monitor bleb fibrosis (needling/5-FU), tube–cornea proximity</w:t>
      </w:r>
      <w:r w:rsidR="00A55C45">
        <w:t xml:space="preserve"> </w:t>
      </w:r>
      <w:r>
        <w:t xml:space="preserve">(specular/AS-OCT as needed), PAS/device obstruction (gonioscopy), and lens changes (cataract) </w:t>
      </w:r>
      <w:r>
        <w:fldChar w:fldCharType="begin"/>
      </w:r>
      <w:r>
        <w:instrText xml:space="preserve"> ADDIN ZOTERO_ITEM CSL_CITATION {"citationID":"DeEpUe90","properties":{"formattedCitation":"(Gedde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fldChar w:fldCharType="separate"/>
      </w:r>
      <w:r>
        <w:rPr>
          <w:noProof/>
        </w:rPr>
        <w:t>(Gedde et al., 2021b)</w:t>
      </w:r>
      <w:r>
        <w:fldChar w:fldCharType="end"/>
      </w:r>
      <w:r>
        <w:t>.</w:t>
      </w:r>
    </w:p>
    <w:p w14:paraId="6CF5EB82" w14:textId="77777777" w:rsidR="004F0A9A" w:rsidRDefault="004F0A9A" w:rsidP="003A0B82">
      <w:pPr>
        <w:spacing w:line="360" w:lineRule="auto"/>
      </w:pPr>
    </w:p>
    <w:p w14:paraId="16A06A02" w14:textId="77777777" w:rsidR="004F0A9A" w:rsidRDefault="004F0A9A" w:rsidP="003A0B82">
      <w:pPr>
        <w:spacing w:line="360" w:lineRule="auto"/>
      </w:pPr>
      <w:r>
        <w:rPr>
          <w:rStyle w:val="Strong"/>
          <w:color w:val="0E101A"/>
        </w:rPr>
        <w:t>Decisive treatment of</w:t>
      </w:r>
      <w:r w:rsidRPr="00D560B1">
        <w:rPr>
          <w:rStyle w:val="Strong"/>
          <w:color w:val="0E101A"/>
        </w:rPr>
        <w:t xml:space="preserve"> pressure instability</w:t>
      </w:r>
    </w:p>
    <w:p w14:paraId="230F9815" w14:textId="565E65D0" w:rsidR="004F0A9A" w:rsidRDefault="004F0A9A" w:rsidP="003A0B82">
      <w:pPr>
        <w:pStyle w:val="ListParagraph"/>
        <w:numPr>
          <w:ilvl w:val="0"/>
          <w:numId w:val="18"/>
        </w:numPr>
      </w:pPr>
      <w:r>
        <w:t xml:space="preserve">Hypotony: atropine, viscoelastic/AC reformation, flow restriction (tube ligation), pressure patch; </w:t>
      </w:r>
      <w:r w:rsidR="00C55EF3">
        <w:t>management</w:t>
      </w:r>
      <w:r>
        <w:t xml:space="preserve"> before maculopathy develops  </w:t>
      </w:r>
      <w:r>
        <w:fldChar w:fldCharType="begin"/>
      </w:r>
      <w:r>
        <w:instrText xml:space="preserve"> ADDIN ZOTERO_ITEM CSL_CITATION {"citationID":"8lBuQn44","properties":{"formattedCitation":"(Gedde et al., 2021b; Samuelson &amp; Liaboe, 2021)","plainCitation":"(Gedde et al., 2021b; Samuelson &amp; Liaboe, 2021)","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L."}],"accessed":{"date-parts":[["2025",10,30]]},"issued":{"date-parts":[["2021",1]]},"citation-key":"gedde2021ai"}},{"id":2308,"uris":["http://zotero.org/users/15573016/items/9U5B8EWM"],"itemData":{"id":2308,"type":"article-journal","abstract":"A 59-year-old man with mild to moderate pigmentary glaucoma was referred for management of hypotony-related maculopathy 3 years after combined phacoemulsification and trabeculectomy in his right eye. His ocular history is significant for retinal detachment in the right eye that was surgically treated with a pars plana vitrectomy and scleral buckle 5 years prior to the current presentation and 1 year prior to his combined phacoemulsification–trabeculectomy procedure. After trabeculectomy, he reportedly had a wound leak with hypotony and choroidal effusion. The patient was referred to a second surgeon who performed a bleb revision with a pericardial patch graft, but the patient had a severe intraocular pressure (IOP) spike in the immediate postoperative period requiring suture removal. This resulted in recurrent hypotony with maculopathy. A second bleb revision with pericardial patch graft was performed but was not successful in raising the IOP out of the single digits or in resolving the maculopathy. Accordingly, the patient was referred for further assessment.\n            At presentation, the patient's corrected distance visual acuity was 20/100 in the right eye and 20/20 in the left eye. Applanation tonometry IOP was 4 mm Hg and 16 mm Hg for the right and left eyes, respectively. Central corneal thickness was 609 μm in the right eye and 574 μm in the left eye. The right pupil was noted to be slightly irregular with a relative afferent pupillary defect. Slitlamp examination of the right eye was notable for a moderately elevated, Seidel test-negative bleb, and deep anterior chamber. The left eye had a Krukenberg spindle and mild nuclear sclerotic cataract but was otherwise unremarkable. Fundus examination of the right eye was notable for significant macular folds with edematous nerve fiber layer (NFL) and optic nerve. The left optic nerve and fundus examination were unremarkable. Gonioscopy revealed open angles with dense trabecular meshwork pigment in both eyes. There was a nicely patent superior sclerostomy in the right eye. There was no cyclodialysis cleft.\n            Optical coherence tomography (OCT) of the macula showed chorioretinal folds and NFL edema in the right eye and was normal in the left eye (Figure 1\n                           \n                              \n                                 \n                                    \n                                       JOURNAL/jcrs/04.03/02158034-202101000-00022/figure1/v/2025-08-11T204619Z/r/image-tiff\n                                    \n                                 \n                              \n                           ). The OCT of the optic nerve in the right eye was distorted secondary to the chorioretinal folds, whereas the left eye was notable for mild superior thinning of the NFL (Figure 2\n                           \n                              \n                                 \n                                    \n                                       JOURNAL/jcrs/04.03/02158034-202101000-00022/figure2/v/2025-08-11T204619Z/r/image-tiff\n                                    \n                                 \n                              \n                           ). Humphrey visual field revealed a superior nasal step in the right eye (Figure 3\n                           \n                              \n                                 \n                                    \n                                       JOURNAL/jcrs/04.03/02158034-202101000-00022/figure3/v/2025-08-11T204619Z/r/image-tiff\n                                    \n                                 \n                              \n                           ). Axial lengths were 25.33 mm and 26.53 mm in the right and left eye, respectively; it is notable that the right eye had a shorter axial length despite the scleral buckle, which demonstrates the degree of axial shortening from hypotony (Figure 4\n                           \n                              \n                                 \n                                    \n                                       JOURNAL/jcrs/04.03/02158034-202101000-00022/figure4/v/2025-08-11T204619Z/r/image-tiff\n                                    \n                                 \n                              \n                           ).\n            What would be your approach for managing this patient's hypotony? Does the fact that the referring surgeon had performed 2 failed bleb revision procedures prior to referral influence your approach? Given that a previous attempt at revision resulted in an extreme IOP spike would you also recommend a glaucoma procedure? If so, what procedure would you perform? Would you do it coincident with the revision or in a staged procedure later on an as-needed basis?","container-title":"Journal of Cataract &amp; Refractive Surgery","DOI":"10.1097/j.jcrs.0000000000000524","ISSN":"0886-3350, 1873-4502","issue":"1","journalAbbreviation":"J Cataract Refract Surg","language":"en","page":"130-130","source":"DOI.org (Crossref)","title":"Management of hypotony-related maculopathy after combined phacoemulsification and trabeculectomy: January consultation #1","title-short":"Management of hypotony-related maculopathy after combined phacoemulsification and trabeculectomy","URL":"https://journals.lww.com/10.1097/j.jcrs.0000000000000524","volume":"47","author":[{"family":"Samuelson","given":"Thomas W."},{"family":"Liaboe","given":"Chase"}],"accessed":{"date-parts":[["2025",10,31]]},"issued":{"date-parts":[["2021",1]]},"citation-key":"samuelson2021a"}}],"schema":"https://github.com/citation-style-language/schema/raw/master/csl-citation.json"} </w:instrText>
      </w:r>
      <w:r>
        <w:fldChar w:fldCharType="separate"/>
      </w:r>
      <w:r>
        <w:rPr>
          <w:noProof/>
        </w:rPr>
        <w:t>(Gedde et al., 2021b; Samuelson &amp; Liaboe, 2021)</w:t>
      </w:r>
      <w:r>
        <w:fldChar w:fldCharType="end"/>
      </w:r>
      <w:r>
        <w:t xml:space="preserve">. </w:t>
      </w:r>
    </w:p>
    <w:p w14:paraId="63FDB1F2" w14:textId="413EF3C7" w:rsidR="004F0A9A" w:rsidRDefault="004F0A9A" w:rsidP="003A0B82">
      <w:pPr>
        <w:pStyle w:val="ListParagraph"/>
        <w:numPr>
          <w:ilvl w:val="0"/>
          <w:numId w:val="18"/>
        </w:numPr>
      </w:pPr>
      <w:r>
        <w:t xml:space="preserve">Spikes: short-term topical IOP therapy; review steroids; clear lumen/angle debris if device present </w:t>
      </w:r>
      <w:r>
        <w:fldChar w:fldCharType="begin"/>
      </w:r>
      <w:r>
        <w:instrText xml:space="preserve"> ADDIN ZOTERO_ITEM CSL_CITATION {"citationID":"hr0Mdicv","properties":{"formattedCitation":"(Gedde et al., 2021b)","plainCitation":"(Gedde et al., 2021b)","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fldChar w:fldCharType="separate"/>
      </w:r>
      <w:r>
        <w:rPr>
          <w:noProof/>
        </w:rPr>
        <w:t>(Gedde et al., 2021b)</w:t>
      </w:r>
      <w:r>
        <w:fldChar w:fldCharType="end"/>
      </w:r>
      <w:r>
        <w:t>.</w:t>
      </w:r>
    </w:p>
    <w:p w14:paraId="499D87C3" w14:textId="77777777" w:rsidR="00122927" w:rsidRDefault="00122927" w:rsidP="003A0B82">
      <w:pPr>
        <w:spacing w:line="360" w:lineRule="auto"/>
      </w:pPr>
    </w:p>
    <w:p w14:paraId="7B1CC917" w14:textId="233FA043" w:rsidR="004F0A9A" w:rsidRDefault="00CA45D8" w:rsidP="003A0B82">
      <w:pPr>
        <w:spacing w:line="360" w:lineRule="auto"/>
      </w:pPr>
      <w:r>
        <w:rPr>
          <w:rStyle w:val="Strong"/>
          <w:color w:val="0E101A"/>
        </w:rPr>
        <w:t>Tube positioning to protect</w:t>
      </w:r>
      <w:r w:rsidR="004F0A9A">
        <w:rPr>
          <w:rStyle w:val="Strong"/>
          <w:color w:val="0E101A"/>
        </w:rPr>
        <w:t xml:space="preserve"> </w:t>
      </w:r>
      <w:r>
        <w:rPr>
          <w:rStyle w:val="Strong"/>
          <w:color w:val="0E101A"/>
        </w:rPr>
        <w:t xml:space="preserve">the </w:t>
      </w:r>
      <w:r w:rsidR="004F0A9A">
        <w:rPr>
          <w:rStyle w:val="Strong"/>
          <w:color w:val="0E101A"/>
        </w:rPr>
        <w:t>c</w:t>
      </w:r>
      <w:r w:rsidR="004F0A9A" w:rsidRPr="00D560B1">
        <w:rPr>
          <w:rStyle w:val="Strong"/>
          <w:color w:val="0E101A"/>
        </w:rPr>
        <w:t>ornea an</w:t>
      </w:r>
      <w:r>
        <w:rPr>
          <w:rStyle w:val="Strong"/>
          <w:color w:val="0E101A"/>
        </w:rPr>
        <w:t>d lens</w:t>
      </w:r>
    </w:p>
    <w:p w14:paraId="5602D0BC" w14:textId="77777777" w:rsidR="009061B6" w:rsidRDefault="004F0A9A" w:rsidP="003A0B82">
      <w:pPr>
        <w:pStyle w:val="ListParagraph"/>
        <w:numPr>
          <w:ilvl w:val="0"/>
          <w:numId w:val="19"/>
        </w:numPr>
      </w:pPr>
      <w:r>
        <w:t>Prioritize posterior/pars plana or sulcus placement when anatomy allows</w:t>
      </w:r>
    </w:p>
    <w:p w14:paraId="3E92859A" w14:textId="55876C58" w:rsidR="009061B6" w:rsidRDefault="009061B6" w:rsidP="003A0B82">
      <w:pPr>
        <w:pStyle w:val="ListParagraph"/>
        <w:numPr>
          <w:ilvl w:val="0"/>
          <w:numId w:val="19"/>
        </w:numPr>
      </w:pPr>
      <w:r>
        <w:t>M</w:t>
      </w:r>
      <w:r w:rsidR="004F0A9A">
        <w:t>onitor endothelial counts if the tube is anterior</w:t>
      </w:r>
    </w:p>
    <w:p w14:paraId="1A5B6521" w14:textId="4F6FFB76" w:rsidR="004F0A9A" w:rsidRDefault="00C55EF3" w:rsidP="003A0B82">
      <w:pPr>
        <w:pStyle w:val="ListParagraph"/>
        <w:numPr>
          <w:ilvl w:val="0"/>
          <w:numId w:val="19"/>
        </w:numPr>
      </w:pPr>
      <w:r>
        <w:lastRenderedPageBreak/>
        <w:t>C</w:t>
      </w:r>
      <w:r w:rsidR="004F0A9A">
        <w:t>ounsel on earl</w:t>
      </w:r>
      <w:r>
        <w:t>y</w:t>
      </w:r>
      <w:r w:rsidR="004F0A9A">
        <w:t xml:space="preserve"> cataract extraction when progression accelerates </w:t>
      </w:r>
      <w:r w:rsidR="004F0A9A">
        <w:fldChar w:fldCharType="begin"/>
      </w:r>
      <w:r w:rsidR="004F0A9A">
        <w:instrText xml:space="preserve"> ADDIN ZOTERO_ITEM CSL_CITATION {"citationID":"6h0CuFAh","properties":{"formattedCitation":"(Godinho et al., 2021; Iwasaki et al., 2018)","plainCitation":"(Godinho et al., 2021; Iwasaki et al., 2018)","noteIndex":0},"citationItems":[{"id":2305,"uris":["http://zotero.org/users/15573016/items/AA2536V6"],"itemData":{"id":2305,"type":"article-journal","abstract":"Précis:\n              An Ahmed glaucoma valve (AGV) tube in the ciliary sulcus (CS) is safer for the endothelium. At 4 years of follow-up, there was a significant decrease in endothelial cell count only with anterior chamber (AC) placement.\n            \n            \n              Purpose:\n              Corneal endothelium (CE) damage is one of the most feared long-term complications that can result from glaucoma drainage devices. Nonetheless, there is a lack of studies evaluating longitudinal changes in CE cells. This study aims to compare CE changes after AGV implantation in eyes with AC or CS tube placement.\n            \n            \n              Materials and Methods:\n              This was a retrospective, nonrandomized, longitudinal study of pseudophakic eyes with open-angle glaucoma and medically uncontrolled intraocular pressure that received an AGV. Eyes with additional glaucoma surgeries performed during follow-up were excluded. The main outcome measure was endothelial cell density (ECD), which was evaluated 1 year±2 months and 4 years±2 months postoperatively. The average endothelial cell size (AS) and the distance from the tube tip to the cornea were also evaluated.\n            \n            \n              Results:\n              \n                Twenty-six eyes from 26 patients, with a mean age of 73±10 years, were included. The tube was placed in the AC in 15 eyes and in the CS in 11 eyes. The eyes with tube placement in the AC showed a significant AS increase (\n                P\n                =0.007) and ECD decrease (\n                P\n                =0.034), whereas eyes with tube placement in the CS had no significant AS (\n                P\n                =0.575) or ECD (\n                P\n                =0.445) change. In the eyes with tube placement in the AC, there was no correlation between DTC and ECD (\n                P\n                =0.260) or AS (\n                P\n                =0.428) changes.\n              \n            \n            \n              Conclusions:\n              Tube placement in the AC seems to lead to significant CE cell loss over time, compared with tube placement in the CS.","container-title":"Journal of Glaucoma","DOI":"10.1097/IJG.0000000000001700","ISSN":"1057-0829","issue":"2","language":"en","page":"170-174","source":"DOI.org (Crossref)","title":"Anterior Chamber Versus Ciliary Sulcus Ahmed Glaucoma Valve Tube Placement: Longitudinal Evaluation of Corneal Endothelial Cell Profiles","title-short":"Anterior Chamber Versus Ciliary Sulcus Ahmed Glaucoma Valve Tube Placement","URL":"https://journals.lww.com/10.1097/IJG.0000000000001700","volume":"30","author":[{"family":"Godinho","given":"Gonçalo"},{"family":"Barbosa-Breda","given":"Joao"},{"family":"Oliveira-Ferreira","given":"Cláudia"},{"family":"Madeira","given":"Carolina"},{"family":"Melo","given":"António"},{"family":"Falcão-Reis","given":"Fernando"},{"family":"Estrela-Silva","given":"Sérgio"}],"accessed":{"date-parts":[["2025",10,31]]},"issued":{"date-parts":[["2021",2]]},"citation-key":"godinho2021"}},{"id":2306,"uris":["http://zotero.org/users/15573016/items/P86Q9LFZ"],"itemData":{"id":2306,"type":"article-journal","container-title":"PLOS ONE","DOI":"10.1371/journal.pone.0201342","ISSN":"1932-6203","issue":"7","journalAbbreviation":"PLoS ONE","language":"en","page":"e0201342","source":"DOI.org (Crossref)","title":"Prospective cohort study of corneal endothelial cell loss after Baerveldt glaucoma implantation","URL":"https://dx.plos.org/10.1371/journal.pone.0201342","volume":"13","author":[{"family":"Iwasaki","given":"Kentaro"},{"family":"Arimura","given":"Shogo"},{"family":"Takihara","given":"Yuji"},{"family":"Takamura","given":"Yoshihiro"},{"family":"Inatani","given":"Masaru"}],"editor":[{"family":"Li","given":"Wei"}],"accessed":{"date-parts":[["2025",10,31]]},"issued":{"date-parts":[["2018",7,26]]},"citation-key":"iwasaki2018"}}],"schema":"https://github.com/citation-style-language/schema/raw/master/csl-citation.json"} </w:instrText>
      </w:r>
      <w:r w:rsidR="004F0A9A">
        <w:fldChar w:fldCharType="separate"/>
      </w:r>
      <w:r w:rsidR="004F0A9A">
        <w:rPr>
          <w:noProof/>
        </w:rPr>
        <w:t>(Godinho et al., 2021; Iwasaki et al., 2018)</w:t>
      </w:r>
      <w:r w:rsidR="004F0A9A">
        <w:fldChar w:fldCharType="end"/>
      </w:r>
      <w:r w:rsidR="004F0A9A">
        <w:t>.</w:t>
      </w:r>
    </w:p>
    <w:p w14:paraId="2466E4C9" w14:textId="77777777" w:rsidR="007F12B2" w:rsidRDefault="007F12B2" w:rsidP="003A0B82">
      <w:pPr>
        <w:spacing w:line="360" w:lineRule="auto"/>
      </w:pPr>
    </w:p>
    <w:p w14:paraId="24E65A2F" w14:textId="13B78CFB" w:rsidR="001E4BC8" w:rsidRDefault="004F0A9A" w:rsidP="003A0B82">
      <w:pPr>
        <w:spacing w:line="360" w:lineRule="auto"/>
      </w:pPr>
      <w:r>
        <w:rPr>
          <w:rStyle w:val="Strong"/>
          <w:color w:val="0E101A"/>
        </w:rPr>
        <w:t xml:space="preserve">Early mitigation of </w:t>
      </w:r>
      <w:r w:rsidR="0010131E">
        <w:rPr>
          <w:rStyle w:val="Strong"/>
          <w:color w:val="0E101A"/>
        </w:rPr>
        <w:t>fibrosis</w:t>
      </w:r>
    </w:p>
    <w:p w14:paraId="42ED7FFE" w14:textId="77777777" w:rsidR="009061B6" w:rsidRDefault="004F0A9A" w:rsidP="003A0B82">
      <w:pPr>
        <w:pStyle w:val="ListParagraph"/>
        <w:numPr>
          <w:ilvl w:val="0"/>
          <w:numId w:val="20"/>
        </w:numPr>
      </w:pPr>
      <w:r>
        <w:t>N</w:t>
      </w:r>
      <w:r w:rsidR="001E4BC8">
        <w:t>eedling/5-FU for MIFS and trab blebs</w:t>
      </w:r>
    </w:p>
    <w:p w14:paraId="18A9459D" w14:textId="50F1C6A9" w:rsidR="009061B6" w:rsidRDefault="00C55EF3" w:rsidP="003A0B82">
      <w:pPr>
        <w:pStyle w:val="ListParagraph"/>
        <w:numPr>
          <w:ilvl w:val="0"/>
          <w:numId w:val="20"/>
        </w:numPr>
      </w:pPr>
      <w:r>
        <w:t>S</w:t>
      </w:r>
      <w:r w:rsidR="001E4BC8">
        <w:t>uture lysis</w:t>
      </w:r>
      <w:r w:rsidR="00D560B1">
        <w:t xml:space="preserve"> </w:t>
      </w:r>
      <w:r w:rsidR="001E4BC8">
        <w:t>after DS</w:t>
      </w:r>
    </w:p>
    <w:p w14:paraId="061C1B52" w14:textId="6D36B557" w:rsidR="009061B6" w:rsidRDefault="00C55EF3" w:rsidP="003A0B82">
      <w:pPr>
        <w:pStyle w:val="ListParagraph"/>
        <w:numPr>
          <w:ilvl w:val="0"/>
          <w:numId w:val="20"/>
        </w:numPr>
      </w:pPr>
      <w:r>
        <w:t>P</w:t>
      </w:r>
      <w:r w:rsidR="001E4BC8">
        <w:t>rompt Nd:</w:t>
      </w:r>
      <w:r w:rsidR="00D560B1">
        <w:t>YAG</w:t>
      </w:r>
      <w:r w:rsidR="009061B6">
        <w:t xml:space="preserve"> </w:t>
      </w:r>
      <w:r w:rsidR="001E4BC8">
        <w:t>clearing or reposition for obstructed MIGS</w:t>
      </w:r>
    </w:p>
    <w:p w14:paraId="341E769F" w14:textId="7E8F4453" w:rsidR="001E4BC8" w:rsidRDefault="00C55EF3" w:rsidP="003A0B82">
      <w:pPr>
        <w:pStyle w:val="ListParagraph"/>
        <w:numPr>
          <w:ilvl w:val="0"/>
          <w:numId w:val="20"/>
        </w:numPr>
      </w:pPr>
      <w:r>
        <w:t>O</w:t>
      </w:r>
      <w:r w:rsidR="001E4BC8">
        <w:t>ptimize anti-inflammatory regimen to reduce scarring drivers</w:t>
      </w:r>
      <w:r w:rsidR="005124DD">
        <w:t xml:space="preserve"> </w:t>
      </w:r>
      <w:r w:rsidR="005124DD">
        <w:fldChar w:fldCharType="begin"/>
      </w:r>
      <w:r w:rsidR="005124DD">
        <w:instrText xml:space="preserve"> ADDIN ZOTERO_ITEM CSL_CITATION {"citationID":"mXlsfiZu","properties":{"formattedCitation":"(Gedde et al., 2021b; Jayaram et al., 2023)","plainCitation":"(Gedde et al., 2021b; Jayaram et al., 2023)","noteIndex":0},"citationItems":[{"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L."}],"accessed":{"date-parts":[["2025",10,30]]},"issued":{"date-parts":[["2021",1]]},"citation-key":"gedde2021ai"}},{"id":2304,"uris":["http://zotero.org/users/15573016/items/JM99INUP"],"itemData":{"id":2304,"type":"article-journal","container-title":"The Lancet","DOI":"10.1016/S0140-6736(23)01289-8","ISSN":"01406736","issue":"10414","journalAbbreviation":"The Lancet","language":"en","page":"1788-1801","source":"DOI.org (Crossref)","title":"Glaucoma: now and beyond","title-short":"Glaucoma","URL":"https://linkinghub.elsevier.com/retrieve/pii/S0140673623012898","volume":"402","author":[{"family":"Jayaram","given":"Hari"},{"family":"Kolko","given":"Miriam"},{"family":"Friedman","given":"David S"},{"family":"Gazzard","given":"Gus"}],"accessed":{"date-parts":[["2025",10,31]]},"issued":{"date-parts":[["2023",11]]},"citation-key":"jayaram2023"}}],"schema":"https://github.com/citation-style-language/schema/raw/master/csl-citation.json"} </w:instrText>
      </w:r>
      <w:r w:rsidR="005124DD">
        <w:fldChar w:fldCharType="separate"/>
      </w:r>
      <w:r w:rsidR="005124DD">
        <w:rPr>
          <w:noProof/>
        </w:rPr>
        <w:t>(Gedde et al., 2021b; Jayaram et al., 2023)</w:t>
      </w:r>
      <w:r w:rsidR="005124DD">
        <w:fldChar w:fldCharType="end"/>
      </w:r>
      <w:r w:rsidR="005124DD">
        <w:t>.</w:t>
      </w:r>
      <w:r w:rsidR="003829CE">
        <w:t xml:space="preserve"> </w:t>
      </w:r>
    </w:p>
    <w:p w14:paraId="0B2F056A" w14:textId="77777777" w:rsidR="00CA45D8" w:rsidRDefault="00CA45D8" w:rsidP="003A0B82">
      <w:pPr>
        <w:spacing w:line="360" w:lineRule="auto"/>
      </w:pPr>
    </w:p>
    <w:p w14:paraId="6F59A02B" w14:textId="77777777" w:rsidR="00CA45D8" w:rsidRDefault="00CA45D8" w:rsidP="003A0B82">
      <w:pPr>
        <w:spacing w:line="360" w:lineRule="auto"/>
      </w:pPr>
    </w:p>
    <w:p w14:paraId="21DB1949" w14:textId="4BEA53E6" w:rsidR="00E0471C" w:rsidRDefault="00CA45D8" w:rsidP="003A0B82">
      <w:pPr>
        <w:spacing w:line="360" w:lineRule="auto"/>
        <w:jc w:val="both"/>
      </w:pPr>
      <w:r>
        <w:t xml:space="preserve">In general, </w:t>
      </w:r>
      <w:r w:rsidR="001E4BC8">
        <w:t xml:space="preserve">the </w:t>
      </w:r>
      <w:r>
        <w:t>surgical management modality</w:t>
      </w:r>
      <w:r w:rsidR="001E4BC8">
        <w:t xml:space="preserve"> that delivers the </w:t>
      </w:r>
      <w:r>
        <w:t>desired</w:t>
      </w:r>
      <w:r w:rsidR="001E4BC8">
        <w:t xml:space="preserve"> IOP reduction with the lowest acceptable complication </w:t>
      </w:r>
      <w:r>
        <w:t xml:space="preserve">risk should be chosen. </w:t>
      </w:r>
      <w:r w:rsidR="001E4BC8">
        <w:t xml:space="preserve">Proactive management of inflammation, pressure instability, fibrosis, and </w:t>
      </w:r>
      <w:r>
        <w:t>device function</w:t>
      </w:r>
      <w:r w:rsidR="001E4BC8">
        <w:t> </w:t>
      </w:r>
      <w:r>
        <w:t xml:space="preserve">ensures positive </w:t>
      </w:r>
      <w:r w:rsidR="001E4BC8">
        <w:t>outcomes and</w:t>
      </w:r>
      <w:r w:rsidR="001E4BC8">
        <w:rPr>
          <w:rStyle w:val="apple-converted-space"/>
          <w:color w:val="0E101A"/>
        </w:rPr>
        <w:t> </w:t>
      </w:r>
      <w:r w:rsidR="001E4BC8">
        <w:t>protects</w:t>
      </w:r>
      <w:r w:rsidR="007F12B2">
        <w:t xml:space="preserve"> </w:t>
      </w:r>
      <w:r w:rsidR="001E4BC8">
        <w:t>vision</w:t>
      </w:r>
      <w:r w:rsidR="005124DD">
        <w:t xml:space="preserve"> </w:t>
      </w:r>
      <w:r w:rsidR="005124DD">
        <w:fldChar w:fldCharType="begin"/>
      </w:r>
      <w:r w:rsidR="005124DD">
        <w:instrText xml:space="preserve"> ADDIN ZOTERO_ITEM CSL_CITATION {"citationID":"pLeh7Atn","properties":{"formattedCitation":"(BMJ Publishing Group Ltd. BMA House, 2021; Gedde et al., 2021b)","plainCitation":"(BMJ Publishing Group Ltd. BMA House, 2021; Gedde et al., 2021b)","noteIndex":0},"citationItems":[{"id":396,"uris":["http://zotero.org/users/15573016/items/7TULMM6X"],"itemData":{"id":396,"type":"article-journal","abstract":"Foreword The only time is now. Every “now” is unique. Responsible persons ask themselves, “How can I act well now?” The answers will differ for every person, because just as every situation is unique, so is every person different from every other person. But surely there must be some algorithm that will assist us in coming to the right answer. Unfortunately, no, for there is no right answer. There is only an answer that is as appropriate as we can conclude at that moment in that situation. No written guidelines can apply appropriately to every unique situation.Unfortunately we physicians have been suckled on a fallacy: “What’s good for the goose is good for the gander.” Phrased in medical terms, “normal findings are good, and abnormal findings are bad.” This is too simple, and often wrong.Good clinicians know that care must be personalized for it to be optimal. So-called normal findings give rough guidance, sometimes applicable to groups, but frequently wrong for individuals. Consider intraocular pressure (IOP). A normal IOP of 15 mmHg good for some and bad for others, and an abnormal IOP of 30 mmHg is good for some and bad for others. We are so bombarded by the myth of the sanctity of the standard distribution curve that it is hard to think independently and specifically. Also, unfortunately, doctors are prone to decide for patients, often on the basis of normative data that is not relevant or important for the particular patient. That we do this is not surprising, as we want to help, and so we default to what seems to be the easy, safe (non-thinking) way, in which we do not have to hold ourselves accountable for the outcome.Somebody HAS to decide, or else we would be living in an anarchical world. Also true. And because none of us knows as much as we need to know to act appropriately, we seek advice from so-called “experts.”For us to care for people well it is essential that we consider what others recommend. So we look to experts, as we should. However, experts are sometimes right and sometimes wrong. Remember that von Graefe in 1860 recommended surgical iridectomy for all glaucoma, Elliot recommended mustard plaster between the shoulders for glaucoma, Becker based treatment on tonographic findings, Weve reported 100% success with penetrating cyclodiathermy in glaucoma, Lichter advised against laser trabeculoplasty, many thought Cypass was great, and the investigators in the Advanced Glaucoma Intervention Study indicated that an IOP usually around 12 mmHg was better than one usually around 20 mmHg. All wrong. What the authors of these guidelines have done excellently, is to provide a general framework on which ophthalmologists can hang pieces of evidence, so as to be able to evaluate the validity and the importance of that evidence. In doing this meticulously they have provided a valuable service to all ophthalmologists, none of whom individually have either the time or the skill to be fully informed. In their own practices the authors consider whether valid information is relevant for the particular person being considered. That process of considering relevance is essential, always. And relevance is based on the particular unique patient, unique doctor and unique situation. The only guideline the authors can provide in this regard is to remind us all to consider relevance with all patients in all situations, and from the patient’s perspective. Even more important than the service to ophthalmologists is the benefit to patients that will result from thoughtful use of these guidelines.We need, also, to remember that diagnoses are generic, and that within every diagnosis there are differences. For example what does a diagnosis of primary open angle mean? Some of those affected will rapidly go blind despite the most thoughtful treatment and others will keep their sight even without treatment. What does a diagnosis of Chandler’s Syndrome mean? In some, surgery works well, and, in others, poorly. So one never directs diagnosis and treatment at a condition, but rather at the person, the objective being the wellness of that person.The previous European Glaucoma Society Guidelines are used internationally. It is good that the EGS is again providing updated, useful information.The Guidelines are a practical, inspirational contribution.George L. Spaeth, BA, MD.Esposito Research Professor, Wills Eye Hospital/Sidney Kimmel Medical College/Thomas Jefferson University\nThe Guidelines writers, authors and contributors Augusto Azuara-Blanco (Editor)Luca BagnascoAlessandro BagnisJoao Barbosa BredaChiara BonzanoAndrei BrezhnevAlain BronCarlo A. CutoloBarbara CvenkelStefano GandolfiTed Garway HeathIlmira GazizovaGus GazzardFranz GrehnAnders HeijlCornelia HirnGábor HollóAnton HommerMichele IesterIngrida JanulevicieneGauti JóhannessonMiriam KolkoTianjing LiJosé Martínez de la CasaFrances Meier-GibbonsMaria MusolinoMarta PazosNorbert PfeifferSergey PetrovLuis Abegao PintoRiccardo ScottoIngeborg StalmansGordana SunaricMégevandErnst TammJohn ThygesenFotis TopouzisMarc Töteberg-HarmsCarlo E. Traverso (Editor)Anja TuulonenZoya VeselovskayaAnanth ViswanathanIlgaz YalvacThierry ZeyenGuidelines Committee Augusto Azuara-Blanco (Chair)Carlo E. Traverso (Co-chair)Manuele Michelessi (NGP Co-chair)Luis Abegao PintoMichele IesterJoao BredaCarlo A. CutoloPanayiota FountiGerhard GarhoeferAndreas KatsanosMiriam KolkoFrancesco OddoneMarta PazosVerena Prokosch-WillingCedric SchweitzerAndrew TathamMarc Toteberg-HarmsAcknowledgements Anja TuulonenTed Garway HeathRichard WormaldTianjing LiManuele MichelessiJenny BurrAzuara-Blanco for their methodological oversight.Tianjing Li and Riaz Qureshi (US Cochrane Eye and Vision Group) and Manuele Michelessi (EGS) for leading the evidence review.Manuele MichelessiGianni VirgiliJoao Barbosa BredaCarlo A. CutoloMarta PazosAndreas KatsanosGerhard GarhoferMiriam KolkoVerena ProkoschPanayota FountiFrancesco OddoneAli Ahmed Al RajhiTianjing LiRiaz Qureshi and Azuara-Blanco for their contribution to the evidence review.Karen Osborn and Joanna Bradley from Glaucoma UK charity for their contribution to the section: ‘What matters to patients’ (https://glaucoma.uk)Additional contributions were made by the following people on specific topics Eleftherios AnastasopoulosPanayiota FountiGus GazzardFranz GrehnAnders HeijlGábor HollóFotis TopouzisAnja TuulonenAnanth ViswanathamThe team of Clinica Oculistica of the University of Genoa for medical editing and illustrations Luca BagnascoAlessandro BagnisChiara BonzanoCarlo A. CutoloMichele LesterMaria MusolinoRoberta ParodiRiccardo ScottoWe would like to thank the following colleagues for their help in reviewing/editing section I.7. Landmark randomised controlled trials for glaucoma Joe CaprioliTed Garway Heath Gus Gazzard Divakar Gupta Anders Heijl Michael Kass Stefano Miglior David Musch Norbert Pfeiffer Thierry ZeyenExternal reviews We would like to thank the following societies and experts:World Glaucoma Association:Parul IchhpujaniMonisha NongpiurTanuj DadaSola OlawoyeJayme ViannaMin Hee SuhFarouk GarbaSimon SkalickyAlex HuangFarouk GarbaPradeep RamuluVerena ProkoschCarolina Gracitelli;American Glaucoma Society:Josh Stein;and Latin-American Glaucoma Society:Daniel GrigeraWe would like to thank the external reviewers whose comments are listed on https://www.eugs.org/eng/guidelines.aspThe EGS executive committee Ted Garway Heath (President)Fotis Topouzis (Vice President)Ingeborg Stalmans (Treasurer)Anja Tuulonen (Past President)Luis Abegao PintoAndrei BrezhnevAlain BronGauti JóhannessonNorbert PfeifferThe board of the European Glaucoma Society Foundation Carlo E. Traverso (Chair)Fotis Topouzis (Vice Chair)Franz GrehnAnders HeijlJohn ThygesenThierry Zeyen\nGlossary 5-FU 5-fluorouracilAAC Acute angle closureACG Angle closure glaucomaAGIS Advanced glaucoma intervention studyAH Aqueous humourAI Artificial intelligenceALT Argon laser trabeculoplastyBAC Benzalkalonium chlorideCCT Central corneal thicknessCDR Cup to disc ratioCIGTS Initial glaucoma treatment studyCNTGS Collaborative normal tension glaucoma studyDCT Dynamic contour tonometryEAGLE Effectiveness of early lens extraction for the treatment of primary angle closure glaucomaEGPS European glaucoma prevention studyEGS European glaucoma societyEMA The european medicines agencyEMGT Early manifest glaucoma trialFC Flow chartFDT Frequency doubling technologyFC Fixed combinationFL Fixation lossesFN False negativesFP False positiveGAT Goldmann applanation tonometryGHT The glaucoma hemifield testGRADE Grading of recommendations, assessment, development and evaluationsHRT Heidelberg retina tomographyICE Irido-corneal endothelial syndromeIOL Intraocular lensIOP Intraocular pressureITC Iridotrabecular contactIV IntravenousLIGHT Laser in glaucoma and ocular hypertension trialLPI Laser peripheral iridotomyLV Loss varianceMD Mean defect or mean deviationMMC Mitomycin CNCT Non-contact tonometryNd:YAG Neodymium-doped yttrium aluminum garnetNTG Normal tension glaucomaOAG Open angle glaucomaOCT Optical coherence tomographyOHT Ocular hypertensionOHTS The ocular hypertension treatment studyONH Optic nerve headORA Ocular response analyserOSD Ocular surface diseasePAC Primary angle closurePACG Primary angle closure glaucomaPACS Primary angle closure suspectPAS Peripheral anterior synechiaePCG Primary congenital glaucomaPDS Pigment dispersion syndromePGA Prostaglandin analoguePOAG Primary open angle glaucomaPG Pigmentary glaucomaPSD Pattern standard deviationPXF Pseudoexfoliation syndromePXFG Pseudoexfoliation glaucomaRCT Randomised controlled trialRNFL Retinal nerve fiber layerRoP Rate of progressionSAP Standard automated perimetrySITA Swedish interactive threshold algorithmSLT Selective laser trabeculoplastySWAP Short-wavelength automated perimetryTLPI Thermal laser peripheral iridoplastyTM Trabecular meshworkUBM Ultrasound biomicroscopyUGH Uveitis-glaucoma-hyphema syndromeUKGTS United Kingdom glaucoma treatment studyVEGF Vascular endothelial growth factorVF Visual filedVFI Visual field indexZAP Zhongshan angle closure prevention trial","container-title":"British Journal of Ophthalmology","DOI":"10.1136/bjophthalmol-2021-egsguidelines","ISSN":"0007-1161, 1468-2079","issue":"Suppl 1","language":"en","license":"© Author(s) (or their employer(s)) 2021.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http://creativecommons.org/licenses/by-nc/4.0/.","note":"publisher: BMJ Publishing Group Ltd\nsection: European Glaucoma Society Terminology and Guidelines for Glaucoma, 5th Edition\nPMID: 34675001","page":"1-169","source":"bjo.bmj.com","title":"European Glaucoma Society Terminology and Guidelines for Glaucoma, 5th Edition","URL":"https://bjo.bmj.com/content/105/Suppl_1/1","volume":"105","author":[{"family":"BMJ Publishing Group Ltd. BMA House","given":"Tavistock Square"}],"accessed":{"date-parts":[["2025",2,4]]},"issued":{"date-parts":[["2021",6,1]]},"citation-key":"bmjpublishinggroupltd.bmahouse2021"}},{"id":2301,"uris":["http://zotero.org/users/15573016/items/6QAAF4SS"],"itemData":{"id":2301,"type":"article-journal","container-title":"Ophthalmology","DOI":"10.1016/j.ophtha.2020.10.022","ISSN":"01616420","issue":"1","journalAbbreviation":"Ophthalmology","language":"en","page":"P71-P150","source":"DOI.org (Crossref)","title":"Primary Open-Angle Glaucoma Preferred Practice Pattern®","URL":"https://linkinghub.elsevier.com/retrieve/pii/S0161642020310241","volume":"128","author":[{"family":"Gedde","given":"Steven J."},{"family":"Vinod","given":"Kateki"},{"family":"Wright","given":"Martha M."},{"family":"Muir","given":"Kelly W."},{"family":"Lind","given":"John T."},{"family":"Chen","given":"Philip P."},{"family":"Li","given":"Tianjing"},{"family":"Mansberger","given":"Steven L."}],"accessed":{"date-parts":[["2025",10,30]]},"issued":{"date-parts":[["2021",1]]},"citation-key":"gedde2021ai"}}],"schema":"https://github.com/citation-style-language/schema/raw/master/csl-citation.json"} </w:instrText>
      </w:r>
      <w:r w:rsidR="005124DD">
        <w:fldChar w:fldCharType="separate"/>
      </w:r>
      <w:r w:rsidR="005124DD">
        <w:rPr>
          <w:noProof/>
        </w:rPr>
        <w:t>(BMJ Publishing Group Ltd. BMA House, 2021; Gedde et al., 2021b)</w:t>
      </w:r>
      <w:r w:rsidR="005124DD">
        <w:fldChar w:fldCharType="end"/>
      </w:r>
      <w:r w:rsidR="001E4BC8">
        <w:t>.</w:t>
      </w:r>
    </w:p>
    <w:p w14:paraId="0A9FB4D4" w14:textId="77777777" w:rsidR="008F144E" w:rsidRDefault="008F144E" w:rsidP="003A0B82">
      <w:pPr>
        <w:spacing w:line="360" w:lineRule="auto"/>
        <w:jc w:val="both"/>
      </w:pPr>
    </w:p>
    <w:p w14:paraId="741D6D4B" w14:textId="77777777" w:rsidR="00E0471C" w:rsidRDefault="00E0471C" w:rsidP="003A0B82">
      <w:pPr>
        <w:spacing w:line="360" w:lineRule="auto"/>
        <w:jc w:val="both"/>
      </w:pPr>
    </w:p>
    <w:p w14:paraId="7EDFA69E" w14:textId="7B4F5EC6" w:rsidR="00EA50B5" w:rsidRDefault="00EA50B5" w:rsidP="003A0B82">
      <w:pPr>
        <w:pStyle w:val="Heading1"/>
        <w:ind w:right="0"/>
      </w:pPr>
      <w:bookmarkStart w:id="48" w:name="_Toc213182587"/>
      <w:r>
        <w:t>Conclusion</w:t>
      </w:r>
      <w:bookmarkEnd w:id="48"/>
    </w:p>
    <w:p w14:paraId="4D3EF2FB" w14:textId="71604948" w:rsidR="00CA49AF" w:rsidRDefault="00CA49AF" w:rsidP="003A0B82">
      <w:pPr>
        <w:spacing w:line="360" w:lineRule="auto"/>
        <w:jc w:val="both"/>
      </w:pPr>
      <w:r>
        <w:t>A</w:t>
      </w:r>
      <w:r w:rsidR="00CA45D8">
        <w:t>s glaucoma is a progressive disease</w:t>
      </w:r>
      <w:r>
        <w:t>,</w:t>
      </w:r>
      <w:r w:rsidR="00CA45D8">
        <w:t xml:space="preserve"> each patient</w:t>
      </w:r>
      <w:r>
        <w:t>’s needs</w:t>
      </w:r>
      <w:r w:rsidR="00CA45D8">
        <w:t xml:space="preserve"> should be individually a</w:t>
      </w:r>
      <w:r>
        <w:t>ss</w:t>
      </w:r>
      <w:r w:rsidR="00CA45D8">
        <w:t xml:space="preserve">essed and </w:t>
      </w:r>
      <w:r>
        <w:t>tailor</w:t>
      </w:r>
      <w:r w:rsidR="00CA45D8">
        <w:t xml:space="preserve">ed to the desired </w:t>
      </w:r>
      <w:r>
        <w:t>management outcomes. E</w:t>
      </w:r>
      <w:r w:rsidR="001E4BC8">
        <w:t xml:space="preserve">mphasis should be placed on patient education and close </w:t>
      </w:r>
      <w:r>
        <w:t xml:space="preserve">postoperative </w:t>
      </w:r>
      <w:r w:rsidR="001E4BC8">
        <w:t xml:space="preserve">follow-up, </w:t>
      </w:r>
      <w:r w:rsidR="00C55EF3">
        <w:t>early</w:t>
      </w:r>
      <w:r w:rsidR="001E4BC8">
        <w:t xml:space="preserve"> </w:t>
      </w:r>
      <w:r w:rsidR="00C55EF3">
        <w:t>detection</w:t>
      </w:r>
      <w:r w:rsidR="001E4BC8">
        <w:t xml:space="preserve"> </w:t>
      </w:r>
      <w:r w:rsidR="00C55EF3">
        <w:t>of</w:t>
      </w:r>
      <w:r>
        <w:t xml:space="preserve"> </w:t>
      </w:r>
      <w:r w:rsidR="00C55EF3">
        <w:t>vision-threatening</w:t>
      </w:r>
      <w:r>
        <w:t xml:space="preserve"> </w:t>
      </w:r>
      <w:r w:rsidR="00C55EF3">
        <w:t>complications</w:t>
      </w:r>
      <w:r w:rsidR="001E4BC8">
        <w:t xml:space="preserve">, and enabling </w:t>
      </w:r>
      <w:r>
        <w:t>timely</w:t>
      </w:r>
      <w:r w:rsidR="001E4BC8">
        <w:t xml:space="preserve"> </w:t>
      </w:r>
      <w:r>
        <w:t xml:space="preserve">medical </w:t>
      </w:r>
      <w:r w:rsidR="001E4BC8">
        <w:t xml:space="preserve">intervention. </w:t>
      </w:r>
    </w:p>
    <w:p w14:paraId="63090350" w14:textId="1450D015" w:rsidR="00886BAE" w:rsidRDefault="00C55EF3" w:rsidP="003A0B82">
      <w:pPr>
        <w:spacing w:line="360" w:lineRule="auto"/>
        <w:ind w:firstLine="720"/>
        <w:jc w:val="both"/>
      </w:pPr>
      <w:r>
        <w:t>The included literature describes an increase in POAG prevalence, posing</w:t>
      </w:r>
      <w:r w:rsidR="00CA49AF" w:rsidRPr="00EC04CE">
        <w:t xml:space="preserve"> a great challenge to health care systems. As stated in the current AAO and EGS guidelines, laser trabeculoplasties pose a low risk for vision-threatening complications and present mainly with transient, self-limited early complications. </w:t>
      </w:r>
      <w:r w:rsidR="00CA49AF">
        <w:t xml:space="preserve">It is estimated that 80% of glaucoma patients </w:t>
      </w:r>
      <w:r w:rsidR="00993789">
        <w:t>are suitable candidates for SLT treatment</w:t>
      </w:r>
      <w:r w:rsidR="00886BAE">
        <w:t xml:space="preserve"> </w:t>
      </w:r>
      <w:r w:rsidR="00886BAE">
        <w:fldChar w:fldCharType="begin"/>
      </w:r>
      <w:r w:rsidR="00886BAE">
        <w:instrText xml:space="preserve"> ADDIN ZOTERO_ITEM CSL_CITATION {"citationID":"P6tX3sLW","properties":{"formattedCitation":"(Gazzard et al., 2019)","plainCitation":"(Gazzard et al., 2019)","noteIndex":0},"citationItems":[{"id":412,"uris":["http://zotero.org/users/15573016/items/TKBZQZ6I"],"itemData":{"id":412,"type":"article-journal","container-title":"The Lancet","DOI":"10.1016/S0140-6736(18)32213-X","ISSN":"01406736","issue":"10180","journalAbbreviation":"The Lancet","language":"en","page":"1505-1516","source":"DOI.org (Crossref)","title":"Selective laser trabeculoplasty versus eye drops for first-line treatment of ocular hypertension and glaucoma (LiGHT): a multicentre randomised controlled trial","title-short":"Selective laser trabeculoplasty versus eye drops for first-line treatment of ocular hypertension and glaucoma (LiGHT)","URL":"https://linkinghub.elsevier.com/retrieve/pii/S014067361832213X","volume":"393","author":[{"family":"Gazzard","given":"Gus"},{"family":"Konstantakopoulou","given":"Evgenia"},{"family":"Garway-Heath","given":"David"},{"family":"Garg","given":"Anurag"},{"family":"Vickerstaff","given":"Victoria"},{"family":"Hunter","given":"Rachael"},{"family":"Ambler","given":"Gareth"},{"family":"Bunce","given":"Catey"},{"family":"Wormald","given":"Richard"},{"family":"Nathwani","given":"Neil"},{"family":"Barton","given":"Keith"},{"family":"Rubin","given":"Gary"},{"family":"Buszewicz","given":"Marta"},{"family":"Ambler","given":"Gareth"},{"family":"Barton","given":"Keith"},{"family":"Bourne","given":"Rupert"},{"family":"Broadway","given":"David"},{"family":"Bunce","given":"Catey"},{"family":"Buszewicz","given":"Marta"},{"family":"Davis","given":"Amanda"},{"family":"Garg","given":"Anurag"},{"family":"Garway-Heath","given":"David"},{"family":"Gazzard","given":"Gus"},{"family":"Hunter","given":"Rachael"},{"family":"Jayaram","given":"Hari"},{"family":"Jiang","given":"Yuzhen"},{"family":"Konstantakopoulou","given":"Evgenia"},{"family":"Lim","given":"Sheng"},{"family":"Liput","given":"Joanna"},{"family":"Manners","given":"Timothy"},{"family":"Morris","given":"Stephen"},{"family":"Nathwani","given":"Neil"},{"family":"Rubin","given":"Gary"},{"family":"Strouthidis","given":"Nicholas"},{"family":"Vickerstaff","given":"Victoria"},{"family":"Wilson","given":"Sarah"},{"family":"Wormald","given":"Richard"},{"family":"Zhu","given":"Haogang"}],"accessed":{"date-parts":[["2025",2,5]]},"issued":{"date-parts":[["2019",4]]},"citation-key":"gazzard2019"}}],"schema":"https://github.com/citation-style-language/schema/raw/master/csl-citation.json"} </w:instrText>
      </w:r>
      <w:r w:rsidR="00886BAE">
        <w:fldChar w:fldCharType="separate"/>
      </w:r>
      <w:r w:rsidR="00886BAE">
        <w:rPr>
          <w:noProof/>
        </w:rPr>
        <w:t>(Gazzard et al., 2019)</w:t>
      </w:r>
      <w:r w:rsidR="00886BAE">
        <w:fldChar w:fldCharType="end"/>
      </w:r>
      <w:r w:rsidR="00993789">
        <w:t xml:space="preserve">. </w:t>
      </w:r>
    </w:p>
    <w:p w14:paraId="52160E3C" w14:textId="67D8FDB1" w:rsidR="00886BAE" w:rsidRDefault="00886BAE" w:rsidP="003A0B82">
      <w:pPr>
        <w:spacing w:line="360" w:lineRule="auto"/>
        <w:ind w:firstLine="720"/>
        <w:jc w:val="both"/>
      </w:pPr>
      <w:r>
        <w:t xml:space="preserve">Moreover, laser trabeculoplasties have been reported to have </w:t>
      </w:r>
      <w:r w:rsidR="00C55EF3">
        <w:t xml:space="preserve">additional financial advantages, reducing potential costs for </w:t>
      </w:r>
      <w:r>
        <w:t xml:space="preserve">patients </w:t>
      </w:r>
      <w:r w:rsidR="00C55EF3">
        <w:t>and</w:t>
      </w:r>
      <w:r>
        <w:t xml:space="preserve"> </w:t>
      </w:r>
      <w:r w:rsidR="00C55EF3">
        <w:t xml:space="preserve">the </w:t>
      </w:r>
      <w:r>
        <w:t xml:space="preserve">healthcare system. Kim et al. reported that SLT is cost-equal to timolol in real-world settings </w:t>
      </w:r>
      <w:r>
        <w:fldChar w:fldCharType="begin"/>
      </w:r>
      <w:r>
        <w:instrText xml:space="preserve"> ADDIN ZOTERO_ITEM CSL_CITATION {"citationID":"SGMfCo5p","properties":{"formattedCitation":"(Kim, 2012)","plainCitation":"(Kim, 2012)","noteIndex":0},"citationItems":[{"id":1663,"uris":["http://zotero.org/users/15573016/items/NR25GJUB"],"itemData":{"id":1663,"type":"article-journal","container-title":"Archives of Ophthalmology","DOI":"10.1001/archophthalmol.2011.2727","ISSN":"0003-9950","issue":"4","journalAbbreviation":"Arch Ophthalmol","language":"en","page":"497","source":"DOI.org (Crossref)","title":"Cost-effectiveness of Medications Compared With Laser Trabeculoplasty in Patients With Newly Diagnosed Open-Angle Glaucoma","URL":"http://archopht.jamanetwork.com/article.aspx?doi=10.1001/archophthalmol.2011.2727","volume":"130","author":[{"family":"Kim","given":"David D."}],"accessed":{"date-parts":[["2025",6,30]]},"issued":{"date-parts":[["2012",4,1]]},"citation-key":"kim2012"}}],"schema":"https://github.com/citation-style-language/schema/raw/master/csl-citation.json"} </w:instrText>
      </w:r>
      <w:r>
        <w:fldChar w:fldCharType="separate"/>
      </w:r>
      <w:r>
        <w:rPr>
          <w:noProof/>
        </w:rPr>
        <w:t>(Kim, 2012)</w:t>
      </w:r>
      <w:r>
        <w:fldChar w:fldCharType="end"/>
      </w:r>
      <w:r>
        <w:t xml:space="preserve">. Accounting for medication adherence, SLT became even more effective by reducing medication needs, reducing clinical visits, and reducing the need for further medical interventions </w:t>
      </w:r>
      <w:r>
        <w:fldChar w:fldCharType="begin"/>
      </w:r>
      <w:r>
        <w:instrText xml:space="preserve"> ADDIN ZOTERO_ITEM CSL_CITATION {"citationID":"FVz7pAr8","properties":{"formattedCitation":"(Kim, 2012)","plainCitation":"(Kim, 2012)","noteIndex":0},"citationItems":[{"id":1663,"uris":["http://zotero.org/users/15573016/items/NR25GJUB"],"itemData":{"id":1663,"type":"article-journal","container-title":"Archives of Ophthalmology","DOI":"10.1001/archophthalmol.2011.2727","ISSN":"0003-9950","issue":"4","journalAbbreviation":"Arch Ophthalmol","language":"en","page":"497","source":"DOI.org (Crossref)","title":"Cost-effectiveness of Medications Compared With Laser Trabeculoplasty in Patients With Newly Diagnosed Open-Angle Glaucoma","URL":"http://archopht.jamanetwork.com/article.aspx?doi=10.1001/archophthalmol.2011.2727","volume":"130","author":[{"family":"Kim","given":"David D."}],"accessed":{"date-parts":[["2025",6,30]]},"issued":{"date-parts":[["2012",4,1]]},"citation-key":"kim2012"}}],"schema":"https://github.com/citation-style-language/schema/raw/master/csl-citation.json"} </w:instrText>
      </w:r>
      <w:r>
        <w:fldChar w:fldCharType="separate"/>
      </w:r>
      <w:r>
        <w:rPr>
          <w:noProof/>
        </w:rPr>
        <w:t>(Kim, 2012)</w:t>
      </w:r>
      <w:r>
        <w:fldChar w:fldCharType="end"/>
      </w:r>
      <w:r>
        <w:t xml:space="preserve">. It is estimated that </w:t>
      </w:r>
      <w:r w:rsidR="00C55EF3">
        <w:t xml:space="preserve">by </w:t>
      </w:r>
      <w:r>
        <w:t xml:space="preserve">employing SLT as a first-line treatment modality for POAG, approximately £458 </w:t>
      </w:r>
      <w:r w:rsidR="00C55EF3">
        <w:t>(</w:t>
      </w:r>
      <w:r>
        <w:t xml:space="preserve">€552) per patient over 3 years could be saved </w:t>
      </w:r>
      <w:r>
        <w:fldChar w:fldCharType="begin"/>
      </w:r>
      <w:r>
        <w:instrText xml:space="preserve"> ADDIN ZOTERO_ITEM CSL_CITATION {"citationID":"9GF0MGsi","properties":{"formattedCitation":"(Gazzard et al., 2019)","plainCitation":"(Gazzard et al., 2019)","noteIndex":0},"citationItems":[{"id":412,"uris":["http://zotero.org/users/15573016/items/TKBZQZ6I"],"itemData":{"id":412,"type":"article-journal","container-title":"The Lancet","DOI":"10.1016/S0140-6736(18)32213-X","ISSN":"01406736","issue":"10180","journalAbbreviation":"The Lancet","language":"en","page":"1505-1516","source":"DOI.org (Crossref)","title":"Selective laser trabeculoplasty versus eye drops for first-line treatment of ocular hypertension and glaucoma (LiGHT): a multicentre randomised controlled trial","title-short":"Selective laser trabeculoplasty versus eye drops for first-line treatment of ocular hypertension and glaucoma (LiGHT)","URL":"https://linkinghub.elsevier.com/retrieve/pii/S014067361832213X","volume":"393","author":[{"family":"Gazzard","given":"Gus"},{"family":"Konstantakopoulou","given":"Evgenia"},{"family":"Garway-Heath","given":"David"},{"family":"Garg","given":"Anurag"},{"family":"Vickerstaff","given":"Victoria"},{"family":"Hunter","given":"Rachael"},{"family":"Ambler","given":"Gareth"},{"family":"Bunce","given":"Catey"},{"family":"Wormald","given":"Richard"},{"family":"Nathwani","given":"Neil"},{"family":"Barton","given":"Keith"},{"family":"Rubin","given":"Gary"},{"family":"Buszewicz","given":"Marta"},{"family":"Ambler","given":"Gareth"},{"family":"Barton","given":"Keith"},{"family":"Bourne","given":"Rupert"},{"family":"Broadway","given":"David"},{"family":"Bunce","given":"Catey"},{"family":"Buszewicz","given":"Marta"},{"family":"Davis","given":"Amanda"},{"family":"Garg","given":"Anurag"},{"family":"Garway-Heath","given":"David"},{"family":"Gazzard","given":"Gus"},{"family":"Hunter","given":"Rachael"},{"family":"Jayaram","given":"Hari"},{"family":"Jiang","given":"Yuzhen"},{"family":"Konstantakopoulou","given":"Evgenia"},{"family":"Lim","given":"Sheng"},{"family":"Liput","given":"Joanna"},{"family":"Manners","given":"Timothy"},{"family":"Morris","given":"Stephen"},{"family":"Nathwani","given":"Neil"},{"family":"Rubin","given":"Gary"},{"family":"Strouthidis","given":"Nicholas"},{"family":"Vickerstaff","given":"Victoria"},{"family":"Wilson","given":"Sarah"},{"family":"Wormald","given":"Richard"},{"family":"Zhu","given":"Haogang"}],"accessed":{"date-parts":[["2025",2,5]]},"issued":{"date-parts":[["2019",4]]},"citation-key":"gazzard2019"}}],"schema":"https://github.com/citation-style-language/schema/raw/master/csl-citation.json"} </w:instrText>
      </w:r>
      <w:r>
        <w:fldChar w:fldCharType="separate"/>
      </w:r>
      <w:r>
        <w:rPr>
          <w:noProof/>
        </w:rPr>
        <w:t>(Gazzard et al., 2019)</w:t>
      </w:r>
      <w:r>
        <w:fldChar w:fldCharType="end"/>
      </w:r>
      <w:r w:rsidR="00993789">
        <w:t>.</w:t>
      </w:r>
      <w:r>
        <w:t xml:space="preserve"> </w:t>
      </w:r>
    </w:p>
    <w:p w14:paraId="2FDDF629" w14:textId="4E41FEC0" w:rsidR="00886BAE" w:rsidRDefault="00886BAE" w:rsidP="003A0B82">
      <w:pPr>
        <w:spacing w:line="360" w:lineRule="auto"/>
        <w:ind w:firstLine="720"/>
        <w:jc w:val="both"/>
      </w:pPr>
      <w:r>
        <w:lastRenderedPageBreak/>
        <w:t>The increased exposure of patients to surgical management underscores the importance of patient and physician awareness of potential postoperative complications</w:t>
      </w:r>
      <w:r w:rsidR="00C55EF3">
        <w:t xml:space="preserve"> and perioperative management.</w:t>
      </w:r>
    </w:p>
    <w:p w14:paraId="21E3827A" w14:textId="77777777" w:rsidR="008F144E" w:rsidRDefault="008F144E" w:rsidP="003A0B82">
      <w:pPr>
        <w:spacing w:line="360" w:lineRule="auto"/>
        <w:ind w:firstLine="720"/>
        <w:jc w:val="both"/>
      </w:pPr>
    </w:p>
    <w:p w14:paraId="1982148C" w14:textId="1DFFD3A8" w:rsidR="00EA50B5" w:rsidRDefault="00C077C4" w:rsidP="008F144E">
      <w:pPr>
        <w:spacing w:line="360" w:lineRule="auto"/>
        <w:jc w:val="both"/>
      </w:pPr>
      <w:r w:rsidRPr="00C077C4">
        <w:t xml:space="preserve">In conclusion, early diagnosis, </w:t>
      </w:r>
      <w:r w:rsidR="00886BAE">
        <w:t xml:space="preserve">targeted </w:t>
      </w:r>
      <w:r w:rsidRPr="00C077C4">
        <w:t>intervention, and prevention of disease progression are cornerstones of POAG management. Early intervention</w:t>
      </w:r>
      <w:r w:rsidR="00886BAE">
        <w:t xml:space="preserve"> with </w:t>
      </w:r>
      <w:r w:rsidR="00EC04CE">
        <w:t>generally safer procedures</w:t>
      </w:r>
      <w:r w:rsidRPr="00C077C4">
        <w:t xml:space="preserve"> prevents the need for more invasive procedures with potentially </w:t>
      </w:r>
      <w:r w:rsidR="003829CE">
        <w:t>vision-threatening</w:t>
      </w:r>
      <w:r w:rsidRPr="00C077C4">
        <w:t xml:space="preserve"> complications.</w:t>
      </w:r>
    </w:p>
    <w:p w14:paraId="52D8D2DA" w14:textId="77777777" w:rsidR="00C077C4" w:rsidRDefault="00C077C4" w:rsidP="00EA50B5"/>
    <w:p w14:paraId="363B9EAA" w14:textId="77777777" w:rsidR="003829CE" w:rsidRDefault="003829CE" w:rsidP="00EA50B5"/>
    <w:p w14:paraId="0A117A8B" w14:textId="77777777" w:rsidR="002A6EC1" w:rsidRDefault="002A6EC1" w:rsidP="00EA50B5"/>
    <w:p w14:paraId="77528565" w14:textId="77777777" w:rsidR="002747E6" w:rsidRDefault="002747E6" w:rsidP="00EA50B5"/>
    <w:p w14:paraId="7E38CB23" w14:textId="7006B212" w:rsidR="002A6EC1" w:rsidRPr="00EA50B5" w:rsidRDefault="00C04E2A" w:rsidP="00EA50B5">
      <w:r>
        <w:br w:type="page"/>
      </w:r>
    </w:p>
    <w:p w14:paraId="00A76555" w14:textId="48A1CA05" w:rsidR="007400BA" w:rsidRPr="00EA50B5" w:rsidRDefault="0081666F" w:rsidP="00EA50B5">
      <w:pPr>
        <w:pStyle w:val="Heading1"/>
      </w:pPr>
      <w:bookmarkStart w:id="49" w:name="_Toc160121467"/>
      <w:bookmarkStart w:id="50" w:name="_Toc213182588"/>
      <w:r w:rsidRPr="00EA50B5">
        <w:lastRenderedPageBreak/>
        <w:t>REFERENCES</w:t>
      </w:r>
      <w:bookmarkEnd w:id="49"/>
      <w:bookmarkEnd w:id="50"/>
    </w:p>
    <w:p w14:paraId="7AEB9BAF" w14:textId="77777777" w:rsidR="002C381E" w:rsidRPr="002C381E" w:rsidRDefault="006E004F" w:rsidP="002C381E">
      <w:pPr>
        <w:pStyle w:val="Bibliography"/>
      </w:pPr>
      <w:r>
        <w:rPr>
          <w:b/>
          <w:szCs w:val="28"/>
        </w:rPr>
        <w:fldChar w:fldCharType="begin"/>
      </w:r>
      <w:r w:rsidR="00E41FB2">
        <w:rPr>
          <w:b/>
          <w:szCs w:val="28"/>
        </w:rPr>
        <w:instrText xml:space="preserve"> ADDIN ZOTERO_BIBL {"uncited":[],"omitted":[],"custom":[]} CSL_BIBLIOGRAPHY </w:instrText>
      </w:r>
      <w:r>
        <w:rPr>
          <w:b/>
          <w:szCs w:val="28"/>
        </w:rPr>
        <w:fldChar w:fldCharType="separate"/>
      </w:r>
      <w:r w:rsidR="002C381E" w:rsidRPr="002C381E">
        <w:t xml:space="preserve">Ahmed, I. I. K., De Francesco, T., Rhee, D., McCabe, C., Flowers, B., Gazzard, G., Samuelson, T. W., &amp; Singh, K. (2022). Long-term Outcomes from the HORIZON Randomized Trial for a Schlemm’s Canal Microstent in Combination Cataract and Glaucoma Surgery. </w:t>
      </w:r>
      <w:r w:rsidR="002C381E" w:rsidRPr="002C381E">
        <w:rPr>
          <w:i/>
          <w:iCs/>
        </w:rPr>
        <w:t>Ophthalmology</w:t>
      </w:r>
      <w:r w:rsidR="002C381E" w:rsidRPr="002C381E">
        <w:t xml:space="preserve">, </w:t>
      </w:r>
      <w:r w:rsidR="002C381E" w:rsidRPr="002C381E">
        <w:rPr>
          <w:i/>
          <w:iCs/>
        </w:rPr>
        <w:t>129</w:t>
      </w:r>
      <w:r w:rsidR="002C381E" w:rsidRPr="002C381E">
        <w:t>(7), 742–751. https://doi.org/10.1016/j.ophtha.2022.02.021</w:t>
      </w:r>
    </w:p>
    <w:p w14:paraId="3BC093DE" w14:textId="77777777" w:rsidR="002C381E" w:rsidRPr="002C381E" w:rsidRDefault="002C381E" w:rsidP="002C381E">
      <w:pPr>
        <w:pStyle w:val="Bibliography"/>
      </w:pPr>
      <w:r w:rsidRPr="002C381E">
        <w:t xml:space="preserve">Aktas, Z., Ozdemir Zeydanli, E., Uysal, B. S., &amp; Yigiter, A. (2022). Outcomes of Prolene Gonioscopy Assisted Transluminal Trabeculotomy in Primary Open Angle Glaucoma and Pseudoexfoliation Glaucoma: A Comparative Study. </w:t>
      </w:r>
      <w:r w:rsidRPr="002C381E">
        <w:rPr>
          <w:i/>
          <w:iCs/>
        </w:rPr>
        <w:t>Journal of Glaucoma</w:t>
      </w:r>
      <w:r w:rsidRPr="002C381E">
        <w:t xml:space="preserve">, </w:t>
      </w:r>
      <w:r w:rsidRPr="002C381E">
        <w:rPr>
          <w:i/>
          <w:iCs/>
        </w:rPr>
        <w:t>31</w:t>
      </w:r>
      <w:r w:rsidRPr="002C381E">
        <w:t>(9), 751–756. https://doi.org/10.1097/IJG.0000000000002063</w:t>
      </w:r>
    </w:p>
    <w:p w14:paraId="65F578E6" w14:textId="77777777" w:rsidR="002C381E" w:rsidRPr="002C381E" w:rsidRDefault="002C381E" w:rsidP="002C381E">
      <w:pPr>
        <w:pStyle w:val="Bibliography"/>
      </w:pPr>
      <w:r w:rsidRPr="002C381E">
        <w:t xml:space="preserve">Ansari, E. (2021). 5-year outcomes of single iStent (G1) trabecular microbypass implantat ion with phacoemulsification in moderately advanced primary open angle glaucoma. </w:t>
      </w:r>
      <w:r w:rsidRPr="002C381E">
        <w:rPr>
          <w:i/>
          <w:iCs/>
        </w:rPr>
        <w:t>PLOS ONE</w:t>
      </w:r>
      <w:r w:rsidRPr="002C381E">
        <w:t xml:space="preserve">, </w:t>
      </w:r>
      <w:r w:rsidRPr="002C381E">
        <w:rPr>
          <w:i/>
          <w:iCs/>
        </w:rPr>
        <w:t>16</w:t>
      </w:r>
      <w:r w:rsidRPr="002C381E">
        <w:t>(9), e0257015. Crossref. https://doi.org/10.1371/journal.pone.0257015</w:t>
      </w:r>
    </w:p>
    <w:p w14:paraId="152BF3D0" w14:textId="77777777" w:rsidR="002C381E" w:rsidRPr="002C381E" w:rsidRDefault="002C381E" w:rsidP="002C381E">
      <w:pPr>
        <w:pStyle w:val="Bibliography"/>
      </w:pPr>
      <w:r w:rsidRPr="002C381E">
        <w:t xml:space="preserve">Aquino, M. C. D., Barton, K., Tan, A. M. W., Sng, C., Li, X., Loon, S. C., &amp; Chew, P. T. (2015). Micropulse versus continuous wave transscleral diode cyclophotocoagulation in refractory glaucoma: A randomized exploratory study. </w:t>
      </w:r>
      <w:r w:rsidRPr="002C381E">
        <w:rPr>
          <w:i/>
          <w:iCs/>
        </w:rPr>
        <w:t>Clinical &amp; Experimental Ophthalmology</w:t>
      </w:r>
      <w:r w:rsidRPr="002C381E">
        <w:t xml:space="preserve">, </w:t>
      </w:r>
      <w:r w:rsidRPr="002C381E">
        <w:rPr>
          <w:i/>
          <w:iCs/>
        </w:rPr>
        <w:t>43</w:t>
      </w:r>
      <w:r w:rsidRPr="002C381E">
        <w:t>(1), 40–46. https://doi.org/10.1111/ceo.12360</w:t>
      </w:r>
    </w:p>
    <w:p w14:paraId="52352763" w14:textId="77777777" w:rsidR="002C381E" w:rsidRPr="002C381E" w:rsidRDefault="002C381E" w:rsidP="002C381E">
      <w:pPr>
        <w:pStyle w:val="Bibliography"/>
      </w:pPr>
      <w:r w:rsidRPr="002C381E">
        <w:t xml:space="preserve">Batlle, J. F., Fantes, F., Riss, I., Pinchuk, L., Alburquerque, R., Kato, Y. P., Arrieta, E., Peralta, A. C., Palmberg, P., Parrish, R. K., Weber, B. A., &amp; Parel, J.-M. (2016). Three-Year Follow-up of a Novel Aqueous Humor MicroShunt. </w:t>
      </w:r>
      <w:r w:rsidRPr="002C381E">
        <w:rPr>
          <w:i/>
          <w:iCs/>
        </w:rPr>
        <w:t>Journal of Glaucoma</w:t>
      </w:r>
      <w:r w:rsidRPr="002C381E">
        <w:t xml:space="preserve">, </w:t>
      </w:r>
      <w:r w:rsidRPr="002C381E">
        <w:rPr>
          <w:i/>
          <w:iCs/>
        </w:rPr>
        <w:t>25</w:t>
      </w:r>
      <w:r w:rsidRPr="002C381E">
        <w:t>(2), e58-65. https://doi.org/10.1097/IJG.0000000000000368</w:t>
      </w:r>
    </w:p>
    <w:p w14:paraId="5C34DCFA" w14:textId="77777777" w:rsidR="002C381E" w:rsidRPr="002C381E" w:rsidRDefault="002C381E" w:rsidP="002C381E">
      <w:pPr>
        <w:pStyle w:val="Bibliography"/>
      </w:pPr>
      <w:r w:rsidRPr="002C381E">
        <w:t xml:space="preserve">Bicket, A. K., Le, J. T., Azuara-Blanco, A., Gazzard, G., Wormald, R., Bunce, C., Hu, K., Jayaram, H., King, A., Otárola, F., Nikita, E., Shah, A., Stead, R., Tóth, M., &amp; Li, T. (2021). Minimally Invasive Glaucoma Surgical Techniques for Open-Angle Glaucoma: An Overview of Cochrane Systematic Reviews and Network Meta-analysis. </w:t>
      </w:r>
      <w:r w:rsidRPr="002C381E">
        <w:rPr>
          <w:i/>
          <w:iCs/>
        </w:rPr>
        <w:t>JAMA Ophthalmology</w:t>
      </w:r>
      <w:r w:rsidRPr="002C381E">
        <w:t xml:space="preserve">, </w:t>
      </w:r>
      <w:r w:rsidRPr="002C381E">
        <w:rPr>
          <w:i/>
          <w:iCs/>
        </w:rPr>
        <w:t>139</w:t>
      </w:r>
      <w:r w:rsidRPr="002C381E">
        <w:t>(9), 983. https://doi.org/10.1001/jamaophthalmol.2021.2351</w:t>
      </w:r>
    </w:p>
    <w:p w14:paraId="730E3EC1" w14:textId="77777777" w:rsidR="002C381E" w:rsidRPr="002C381E" w:rsidRDefault="002C381E" w:rsidP="002C381E">
      <w:pPr>
        <w:pStyle w:val="Bibliography"/>
      </w:pPr>
      <w:r w:rsidRPr="002C381E">
        <w:lastRenderedPageBreak/>
        <w:t xml:space="preserve">BMJ Publishing Group Ltd. BMA House, T. S. (2021). European Glaucoma Society Terminology and Guidelines for Glaucoma, 5th Edition. </w:t>
      </w:r>
      <w:r w:rsidRPr="002C381E">
        <w:rPr>
          <w:i/>
          <w:iCs/>
        </w:rPr>
        <w:t>British Journal of Ophthalmology</w:t>
      </w:r>
      <w:r w:rsidRPr="002C381E">
        <w:t xml:space="preserve">, </w:t>
      </w:r>
      <w:r w:rsidRPr="002C381E">
        <w:rPr>
          <w:i/>
          <w:iCs/>
        </w:rPr>
        <w:t>105</w:t>
      </w:r>
      <w:r w:rsidRPr="002C381E">
        <w:t>(Suppl 1), 1–169. https://doi.org/10.1136/bjophthalmol-2021-egsguidelines</w:t>
      </w:r>
    </w:p>
    <w:p w14:paraId="048A6D73" w14:textId="77777777" w:rsidR="002C381E" w:rsidRPr="002C381E" w:rsidRDefault="002C381E" w:rsidP="002C381E">
      <w:pPr>
        <w:pStyle w:val="Bibliography"/>
      </w:pPr>
      <w:r w:rsidRPr="002C381E">
        <w:t xml:space="preserve">Bolek, B., Wylęgała, A., &amp; Wylęgała, E. (2023). Microcyclophotocoagulation in Glaucoma Treatment: A Medium-Term Follow-Up Study. </w:t>
      </w:r>
      <w:r w:rsidRPr="002C381E">
        <w:rPr>
          <w:i/>
          <w:iCs/>
        </w:rPr>
        <w:t>Journal of Clinical Medicine</w:t>
      </w:r>
      <w:r w:rsidRPr="002C381E">
        <w:t xml:space="preserve">, </w:t>
      </w:r>
      <w:r w:rsidRPr="002C381E">
        <w:rPr>
          <w:i/>
          <w:iCs/>
        </w:rPr>
        <w:t>12</w:t>
      </w:r>
      <w:r w:rsidRPr="002C381E">
        <w:t>(13), 4342. https://doi.org/10.3390/jcm12134342</w:t>
      </w:r>
    </w:p>
    <w:p w14:paraId="4D9587A7" w14:textId="77777777" w:rsidR="002C381E" w:rsidRPr="002C381E" w:rsidRDefault="002C381E" w:rsidP="002C381E">
      <w:pPr>
        <w:pStyle w:val="Bibliography"/>
      </w:pPr>
      <w:r w:rsidRPr="002C381E">
        <w:t xml:space="preserve">Brusini, P., Caramello, G., Benedetti, S., &amp; Tosoni, C. (2016). Canaloplasty in Open-angle Glaucoma: Mid-term Results From a Multicenter Study. </w:t>
      </w:r>
      <w:r w:rsidRPr="002C381E">
        <w:rPr>
          <w:i/>
          <w:iCs/>
        </w:rPr>
        <w:t>Journal of Glaucoma</w:t>
      </w:r>
      <w:r w:rsidRPr="002C381E">
        <w:t xml:space="preserve">, </w:t>
      </w:r>
      <w:r w:rsidRPr="002C381E">
        <w:rPr>
          <w:i/>
          <w:iCs/>
        </w:rPr>
        <w:t>25</w:t>
      </w:r>
      <w:r w:rsidRPr="002C381E">
        <w:t>(5), 403–407. https://doi.org/10.1097/IJG.0000000000000103</w:t>
      </w:r>
    </w:p>
    <w:p w14:paraId="7C81F851" w14:textId="77777777" w:rsidR="002C381E" w:rsidRPr="002C381E" w:rsidRDefault="002C381E" w:rsidP="002C381E">
      <w:pPr>
        <w:pStyle w:val="Bibliography"/>
      </w:pPr>
      <w:r w:rsidRPr="002C381E">
        <w:t xml:space="preserve">Budenz, D. L., Barton, K., Feuer, W. J., Schiffman, J., Costa, V. P., Godfrey, D. G., Buys, Y. M., &amp; Ahmed Baerveldt Comparison Study Group. (2011). Treatment outcomes in the Ahmed Baerveldt Comparison Study after 1 year of follow-up. </w:t>
      </w:r>
      <w:r w:rsidRPr="002C381E">
        <w:rPr>
          <w:i/>
          <w:iCs/>
        </w:rPr>
        <w:t>Ophthalmology</w:t>
      </w:r>
      <w:r w:rsidRPr="002C381E">
        <w:t xml:space="preserve">, </w:t>
      </w:r>
      <w:r w:rsidRPr="002C381E">
        <w:rPr>
          <w:i/>
          <w:iCs/>
        </w:rPr>
        <w:t>118</w:t>
      </w:r>
      <w:r w:rsidRPr="002C381E">
        <w:t>(3), 443–452. https://doi.org/10.1016/j.ophtha.2010.07.016</w:t>
      </w:r>
    </w:p>
    <w:p w14:paraId="212035C9" w14:textId="77777777" w:rsidR="002C381E" w:rsidRPr="002C381E" w:rsidRDefault="002C381E" w:rsidP="002C381E">
      <w:pPr>
        <w:pStyle w:val="Bibliography"/>
      </w:pPr>
      <w:r w:rsidRPr="002C381E">
        <w:t xml:space="preserve">Budenz, D. L., Feuer, W. J., Barton, K., Schiffman, J., Costa, V. P., Godfrey, D. G., Buys, Y. M., &amp; Ahmed Baerveldt Comparison Study Group. (2016). Postoperative Complications in the Ahmed Baerveldt Comparison Study During Five Years of Follow-up. </w:t>
      </w:r>
      <w:r w:rsidRPr="002C381E">
        <w:rPr>
          <w:i/>
          <w:iCs/>
        </w:rPr>
        <w:t>American Journal of Ophthalmology</w:t>
      </w:r>
      <w:r w:rsidRPr="002C381E">
        <w:t xml:space="preserve">, </w:t>
      </w:r>
      <w:r w:rsidRPr="002C381E">
        <w:rPr>
          <w:i/>
          <w:iCs/>
        </w:rPr>
        <w:t>163</w:t>
      </w:r>
      <w:r w:rsidRPr="002C381E">
        <w:t>, 75-82.e3. https://doi.org/10.1016/j.ajo.2015.11.023</w:t>
      </w:r>
    </w:p>
    <w:p w14:paraId="6BBC2B52" w14:textId="77777777" w:rsidR="002C381E" w:rsidRPr="002C381E" w:rsidRDefault="002C381E" w:rsidP="002C381E">
      <w:pPr>
        <w:pStyle w:val="Bibliography"/>
      </w:pPr>
      <w:r w:rsidRPr="002C381E">
        <w:t xml:space="preserve">Bull, H., Von Wolff, K., Körber, N., &amp; Tetz, M. (2011). Three-year canaloplasty outcomes for the treatment of open-angle glaucoma: European study results. </w:t>
      </w:r>
      <w:r w:rsidRPr="002C381E">
        <w:rPr>
          <w:i/>
          <w:iCs/>
        </w:rPr>
        <w:t>Graefe’s Archive for Clinical and Experimental Ophthalmology</w:t>
      </w:r>
      <w:r w:rsidRPr="002C381E">
        <w:t xml:space="preserve">, </w:t>
      </w:r>
      <w:r w:rsidRPr="002C381E">
        <w:rPr>
          <w:i/>
          <w:iCs/>
        </w:rPr>
        <w:t>249</w:t>
      </w:r>
      <w:r w:rsidRPr="002C381E">
        <w:t>(10), 1537–1545. https://doi.org/10.1007/s00417-011-1728-3</w:t>
      </w:r>
    </w:p>
    <w:p w14:paraId="2CD6D7AF" w14:textId="77777777" w:rsidR="002C381E" w:rsidRPr="002C381E" w:rsidRDefault="002C381E" w:rsidP="002C381E">
      <w:pPr>
        <w:pStyle w:val="Bibliography"/>
      </w:pPr>
      <w:r w:rsidRPr="002C381E">
        <w:t xml:space="preserve">Chavez, M. P., Guedes, G. B., Pasqualotto, E., De Almeida, I. N. F., Lopes, L. M., Prata, T. S., &amp; De Souza, T. T. (2025). Micropulse Transscleral Laser Treatment vs. Continuous Wave Transscleral Cyclophotocoagulation for the Treatment of Glaucoma or Ocular </w:t>
      </w:r>
      <w:r w:rsidRPr="002C381E">
        <w:lastRenderedPageBreak/>
        <w:t xml:space="preserve">Hypertension: A Meta-Analysis. </w:t>
      </w:r>
      <w:r w:rsidRPr="002C381E">
        <w:rPr>
          <w:i/>
          <w:iCs/>
        </w:rPr>
        <w:t>Journal of Glaucoma</w:t>
      </w:r>
      <w:r w:rsidRPr="002C381E">
        <w:t>. https://doi.org/10.1097/IJG.0000000000002583</w:t>
      </w:r>
    </w:p>
    <w:p w14:paraId="491D27D2" w14:textId="77777777" w:rsidR="002C381E" w:rsidRPr="002C381E" w:rsidRDefault="002C381E" w:rsidP="002C381E">
      <w:pPr>
        <w:pStyle w:val="Bibliography"/>
      </w:pPr>
      <w:r w:rsidRPr="002C381E">
        <w:t xml:space="preserve">Christakis, P. G., Kalenak, J. W., Tsai, J. C., Zurakowski, D., Kammer, J. A., Harasymowycz, P. J., Mura, J. J., Cantor, L. B., &amp; Ahmed, I. I. K. (2016). The Ahmed Versus Baerveldt Study. </w:t>
      </w:r>
      <w:r w:rsidRPr="002C381E">
        <w:rPr>
          <w:i/>
          <w:iCs/>
        </w:rPr>
        <w:t>Ophthalmology</w:t>
      </w:r>
      <w:r w:rsidRPr="002C381E">
        <w:t xml:space="preserve">, </w:t>
      </w:r>
      <w:r w:rsidRPr="002C381E">
        <w:rPr>
          <w:i/>
          <w:iCs/>
        </w:rPr>
        <w:t>123</w:t>
      </w:r>
      <w:r w:rsidRPr="002C381E">
        <w:t>(10), 2093–2102. https://doi.org/10.1016/j.ophtha.2016.06.035</w:t>
      </w:r>
    </w:p>
    <w:p w14:paraId="7E8D758F" w14:textId="77777777" w:rsidR="002C381E" w:rsidRPr="002C381E" w:rsidRDefault="002C381E" w:rsidP="002C381E">
      <w:pPr>
        <w:pStyle w:val="Bibliography"/>
      </w:pPr>
      <w:r w:rsidRPr="002C381E">
        <w:t xml:space="preserve">Christakis, P. G., Zhang, D., Budenz, D. L., Barton, K., Tsai, J. C., Ahmed, I. I. K., &amp; ABC-AVB Study Groups. (2017). Five-Year Pooled Data Analysis of the Ahmed Baerveldt Comparison Study and the Ahmed Versus Baerveldt Study. </w:t>
      </w:r>
      <w:r w:rsidRPr="002C381E">
        <w:rPr>
          <w:i/>
          <w:iCs/>
        </w:rPr>
        <w:t>American Journal of Ophthalmology</w:t>
      </w:r>
      <w:r w:rsidRPr="002C381E">
        <w:t xml:space="preserve">, </w:t>
      </w:r>
      <w:r w:rsidRPr="002C381E">
        <w:rPr>
          <w:i/>
          <w:iCs/>
        </w:rPr>
        <w:t>176</w:t>
      </w:r>
      <w:r w:rsidRPr="002C381E">
        <w:t>, 118–126. https://doi.org/10.1016/j.ajo.2017.01.003</w:t>
      </w:r>
    </w:p>
    <w:p w14:paraId="13E3D9BA" w14:textId="77777777" w:rsidR="002C381E" w:rsidRPr="002C381E" w:rsidRDefault="002C381E" w:rsidP="002C381E">
      <w:pPr>
        <w:pStyle w:val="Bibliography"/>
      </w:pPr>
      <w:r w:rsidRPr="002C381E">
        <w:t xml:space="preserve">Clement, C., Howes, F., Ioannidis, A., Shiu, M., Manning, D., Lusthaus, J. A., Skalicky, S. E., &amp; Goodwin, T. W. (2022). Multicenter Effectiveness and Disease Stability Through 3 Years After iStentTrabecular Micro-Bypass with Phacoemulsification in Glaucoma and Ocular Hypertension. </w:t>
      </w:r>
      <w:r w:rsidRPr="002C381E">
        <w:rPr>
          <w:i/>
          <w:iCs/>
        </w:rPr>
        <w:t>Clinical Ophthalmology</w:t>
      </w:r>
      <w:r w:rsidRPr="002C381E">
        <w:t xml:space="preserve">, </w:t>
      </w:r>
      <w:r w:rsidRPr="002C381E">
        <w:rPr>
          <w:i/>
          <w:iCs/>
        </w:rPr>
        <w:t>Volume 16</w:t>
      </w:r>
      <w:r w:rsidRPr="002C381E">
        <w:t>, 2955–2968. https://doi.org/10.2147/OPTH.S373290</w:t>
      </w:r>
    </w:p>
    <w:p w14:paraId="272461E7" w14:textId="77777777" w:rsidR="002C381E" w:rsidRPr="002C381E" w:rsidRDefault="002C381E" w:rsidP="002C381E">
      <w:pPr>
        <w:pStyle w:val="Bibliography"/>
      </w:pPr>
      <w:r w:rsidRPr="002C381E">
        <w:t xml:space="preserve">Coleman, A. L., &amp; Richter, G. (2016). Minimally invasive glaucoma surgery: Current status and future prospects. </w:t>
      </w:r>
      <w:r w:rsidRPr="002C381E">
        <w:rPr>
          <w:i/>
          <w:iCs/>
        </w:rPr>
        <w:t>Clinical Ophthalmology</w:t>
      </w:r>
      <w:r w:rsidRPr="002C381E">
        <w:t>, 189. https://doi.org/10.2147/opth.s80490</w:t>
      </w:r>
    </w:p>
    <w:p w14:paraId="39CCB0A3" w14:textId="77777777" w:rsidR="002C381E" w:rsidRPr="002C381E" w:rsidRDefault="002C381E" w:rsidP="002C381E">
      <w:pPr>
        <w:pStyle w:val="Bibliography"/>
      </w:pPr>
      <w:r w:rsidRPr="002C381E">
        <w:t xml:space="preserve">Cvenkel, B., Hvala, A., Drnovšek‐Olup, B., &amp; Gale, N. (2003). Acute ultrastructural changes of the trabecular meshwork after selective laser trabeculoplasty and low power argon laser trabeculoplasty. </w:t>
      </w:r>
      <w:r w:rsidRPr="002C381E">
        <w:rPr>
          <w:i/>
          <w:iCs/>
        </w:rPr>
        <w:t>Lasers in Surgery and Medicine</w:t>
      </w:r>
      <w:r w:rsidRPr="002C381E">
        <w:t xml:space="preserve">, </w:t>
      </w:r>
      <w:r w:rsidRPr="002C381E">
        <w:rPr>
          <w:i/>
          <w:iCs/>
        </w:rPr>
        <w:t>33</w:t>
      </w:r>
      <w:r w:rsidRPr="002C381E">
        <w:t>(3), 204–208. https://doi.org/10.1002/lsm.10203</w:t>
      </w:r>
    </w:p>
    <w:p w14:paraId="7CA12F42" w14:textId="77777777" w:rsidR="002C381E" w:rsidRPr="002C381E" w:rsidRDefault="002C381E" w:rsidP="002C381E">
      <w:pPr>
        <w:pStyle w:val="Bibliography"/>
      </w:pPr>
      <w:r w:rsidRPr="002C381E">
        <w:t xml:space="preserve">De Keyser, M., De Belder, M., &amp; De Groot, V. (2017). Randomized Prospective Study of the Use of Anti-Inflammatory Drops After Selective Laser Trabeculoplasty. </w:t>
      </w:r>
      <w:r w:rsidRPr="002C381E">
        <w:rPr>
          <w:i/>
          <w:iCs/>
        </w:rPr>
        <w:t>Journal of Glaucoma</w:t>
      </w:r>
      <w:r w:rsidRPr="002C381E">
        <w:t xml:space="preserve">, </w:t>
      </w:r>
      <w:r w:rsidRPr="002C381E">
        <w:rPr>
          <w:i/>
          <w:iCs/>
        </w:rPr>
        <w:t>26</w:t>
      </w:r>
      <w:r w:rsidRPr="002C381E">
        <w:t>(2), e22–e29. https://doi.org/10.1097/IJG.0000000000000522</w:t>
      </w:r>
    </w:p>
    <w:p w14:paraId="4E9EF335" w14:textId="77777777" w:rsidR="002C381E" w:rsidRPr="002C381E" w:rsidRDefault="002C381E" w:rsidP="002C381E">
      <w:pPr>
        <w:pStyle w:val="Bibliography"/>
      </w:pPr>
      <w:r w:rsidRPr="002C381E">
        <w:t xml:space="preserve">de Vries, Victor. A., Pals, J., Poelman, H. J., Rostamzad, P., Wolfs, R. C. W., &amp; Ramdas, W. D. (2022). Efficacy and Safety of Micropulse Transscleral Cyclophotocoagulation. </w:t>
      </w:r>
      <w:r w:rsidRPr="002C381E">
        <w:rPr>
          <w:i/>
          <w:iCs/>
        </w:rPr>
        <w:lastRenderedPageBreak/>
        <w:t>Journal of Clinical Medicine</w:t>
      </w:r>
      <w:r w:rsidRPr="002C381E">
        <w:t xml:space="preserve">, </w:t>
      </w:r>
      <w:r w:rsidRPr="002C381E">
        <w:rPr>
          <w:i/>
          <w:iCs/>
        </w:rPr>
        <w:t>11</w:t>
      </w:r>
      <w:r w:rsidRPr="002C381E">
        <w:t>(12), 3447. Crossref. https://doi.org/10.3390/jcm11123447</w:t>
      </w:r>
    </w:p>
    <w:p w14:paraId="42E51863" w14:textId="77777777" w:rsidR="002C381E" w:rsidRPr="002C381E" w:rsidRDefault="002C381E" w:rsidP="002C381E">
      <w:pPr>
        <w:pStyle w:val="Bibliography"/>
      </w:pPr>
      <w:r w:rsidRPr="002C381E">
        <w:t xml:space="preserve">Elhusseiny, A. M., Hassan, A. K., Elsaman, A. S., Azhari, J. O., VanderVeen, D. K., Abdelnaem, S., Pakravan, M., Chang, T. C., Khodeiry, M. M., Khouri, A. S., Sayed, M. S., Lee, R. K., &amp; Sallam, A. B. (2024). Continuous Wave Transscleral Cyclophotocoagulation and Endoscopic Cyclophotocoagulation in Childhood Glaucoma: A Meta-Analysis. </w:t>
      </w:r>
      <w:r w:rsidRPr="002C381E">
        <w:rPr>
          <w:i/>
          <w:iCs/>
        </w:rPr>
        <w:t>Journal of Glaucoma</w:t>
      </w:r>
      <w:r w:rsidRPr="002C381E">
        <w:t xml:space="preserve">, </w:t>
      </w:r>
      <w:r w:rsidRPr="002C381E">
        <w:rPr>
          <w:i/>
          <w:iCs/>
        </w:rPr>
        <w:t>33</w:t>
      </w:r>
      <w:r w:rsidRPr="002C381E">
        <w:t>(6), 456–463. https://doi.org/10.1097/IJG.0000000000002365</w:t>
      </w:r>
    </w:p>
    <w:p w14:paraId="69E56986" w14:textId="77777777" w:rsidR="002C381E" w:rsidRPr="002C381E" w:rsidRDefault="002C381E" w:rsidP="002C381E">
      <w:pPr>
        <w:pStyle w:val="Bibliography"/>
      </w:pPr>
      <w:r w:rsidRPr="002C381E">
        <w:t xml:space="preserve">Fea, A. M., Ghilardi, A., Bovone, D., Reibaldi, M., Rossi, A., &amp; Craven, E. R. (2022). A New and Easier Approach to Preserflo MicroShunt Implantation. </w:t>
      </w:r>
      <w:r w:rsidRPr="002C381E">
        <w:rPr>
          <w:i/>
          <w:iCs/>
        </w:rPr>
        <w:t>Clinical Ophthalmology</w:t>
      </w:r>
      <w:r w:rsidRPr="002C381E">
        <w:t xml:space="preserve">, </w:t>
      </w:r>
      <w:r w:rsidRPr="002C381E">
        <w:rPr>
          <w:i/>
          <w:iCs/>
        </w:rPr>
        <w:t>Volume 16</w:t>
      </w:r>
      <w:r w:rsidRPr="002C381E">
        <w:t>, 1281–1288. https://doi.org/10.2147/opth.s307835</w:t>
      </w:r>
    </w:p>
    <w:p w14:paraId="210E3889" w14:textId="77777777" w:rsidR="002C381E" w:rsidRPr="002C381E" w:rsidRDefault="002C381E" w:rsidP="002C381E">
      <w:pPr>
        <w:pStyle w:val="Bibliography"/>
      </w:pPr>
      <w:r w:rsidRPr="002C381E">
        <w:t xml:space="preserve">Feldman, R. M., Katz, L. J., Spaeth, G. L., Crapotta, J. A., Fahmy, I. A., &amp; Ali, M. A. (1991). Long-term Efficacy of Repeat Argon Laser Trabeculoplasty. </w:t>
      </w:r>
      <w:r w:rsidRPr="002C381E">
        <w:rPr>
          <w:i/>
          <w:iCs/>
        </w:rPr>
        <w:t>Ophthalmology</w:t>
      </w:r>
      <w:r w:rsidRPr="002C381E">
        <w:t xml:space="preserve">, </w:t>
      </w:r>
      <w:r w:rsidRPr="002C381E">
        <w:rPr>
          <w:i/>
          <w:iCs/>
        </w:rPr>
        <w:t>98</w:t>
      </w:r>
      <w:r w:rsidRPr="002C381E">
        <w:t>(7), 1061–1065. https://doi.org/10.1016/S0161-6420(91)32176-6</w:t>
      </w:r>
    </w:p>
    <w:p w14:paraId="399BA71A" w14:textId="77777777" w:rsidR="002C381E" w:rsidRPr="002C381E" w:rsidRDefault="002C381E" w:rsidP="002C381E">
      <w:pPr>
        <w:pStyle w:val="Bibliography"/>
      </w:pPr>
      <w:r w:rsidRPr="002C381E">
        <w:t xml:space="preserve">Fiore, C., Shang, X., Lincke, J.-B., Häner, N. U., Zinkernagel, M. S., &amp; Unterlauft, J. D. (2024). Five-Year Outcomes of Deep Sclerectomy in Pseudoexfoliation Glaucoma Compared to Primary Open-Angle Glaucoma. </w:t>
      </w:r>
      <w:r w:rsidRPr="002C381E">
        <w:rPr>
          <w:i/>
          <w:iCs/>
        </w:rPr>
        <w:t>Journal of Clinical Medicine</w:t>
      </w:r>
      <w:r w:rsidRPr="002C381E">
        <w:t xml:space="preserve">, </w:t>
      </w:r>
      <w:r w:rsidRPr="002C381E">
        <w:rPr>
          <w:i/>
          <w:iCs/>
        </w:rPr>
        <w:t>13</w:t>
      </w:r>
      <w:r w:rsidRPr="002C381E">
        <w:t>(23), 7434. https://doi.org/10.3390/jcm13237434</w:t>
      </w:r>
    </w:p>
    <w:p w14:paraId="2366674A" w14:textId="77777777" w:rsidR="002C381E" w:rsidRPr="002C381E" w:rsidRDefault="002C381E" w:rsidP="002C381E">
      <w:pPr>
        <w:pStyle w:val="Bibliography"/>
      </w:pPr>
      <w:r w:rsidRPr="002C381E">
        <w:t xml:space="preserve">Gan, L., Wang, L., Chen, J., &amp; Tang, L. (2024). Complications of XEN gel stent implantation for the treatment of glaucoma: A systematic review. </w:t>
      </w:r>
      <w:r w:rsidRPr="002C381E">
        <w:rPr>
          <w:i/>
          <w:iCs/>
        </w:rPr>
        <w:t>Frontiers in Medicine</w:t>
      </w:r>
      <w:r w:rsidRPr="002C381E">
        <w:t xml:space="preserve">, </w:t>
      </w:r>
      <w:r w:rsidRPr="002C381E">
        <w:rPr>
          <w:i/>
          <w:iCs/>
        </w:rPr>
        <w:t>11</w:t>
      </w:r>
      <w:r w:rsidRPr="002C381E">
        <w:t>, 1360051. https://doi.org/10.3389/fmed.2024.1360051</w:t>
      </w:r>
    </w:p>
    <w:p w14:paraId="2A95495E" w14:textId="77777777" w:rsidR="002C381E" w:rsidRPr="002C381E" w:rsidRDefault="002C381E" w:rsidP="002C381E">
      <w:pPr>
        <w:pStyle w:val="Bibliography"/>
      </w:pPr>
      <w:r w:rsidRPr="002C381E">
        <w:t xml:space="preserve">Gazzard, G., Konstantakopoulou, E., Garway-Heath, D., Adeleke, M., Vickerstaff, V., Ambler, G., Hunter, R., Bunce, C., Nathwani, N., Barton, K., &amp; LiGHT Trial Study Group. (2023). Laser in Glaucoma and Ocular Hypertension (LiGHT) Trial: Six-Year Results of Primary Selective Laser Trabeculoplasty versus Eye Drops for the Treatment of </w:t>
      </w:r>
      <w:r w:rsidRPr="002C381E">
        <w:lastRenderedPageBreak/>
        <w:t xml:space="preserve">Glaucoma and Ocular Hypertension. </w:t>
      </w:r>
      <w:r w:rsidRPr="002C381E">
        <w:rPr>
          <w:i/>
          <w:iCs/>
        </w:rPr>
        <w:t>Ophthalmology</w:t>
      </w:r>
      <w:r w:rsidRPr="002C381E">
        <w:t xml:space="preserve">, </w:t>
      </w:r>
      <w:r w:rsidRPr="002C381E">
        <w:rPr>
          <w:i/>
          <w:iCs/>
        </w:rPr>
        <w:t>130</w:t>
      </w:r>
      <w:r w:rsidRPr="002C381E">
        <w:t>(2), 139–151. https://doi.org/10.1016/j.ophtha.2022.09.009</w:t>
      </w:r>
    </w:p>
    <w:p w14:paraId="3C2C5990" w14:textId="77777777" w:rsidR="002C381E" w:rsidRPr="002C381E" w:rsidRDefault="002C381E" w:rsidP="002C381E">
      <w:pPr>
        <w:pStyle w:val="Bibliography"/>
      </w:pPr>
      <w:r w:rsidRPr="002C381E">
        <w:t xml:space="preserve">Gazzard, G., Konstantakopoulou, E., Garway-Heath, D., Garg, A., Vickerstaff, V., Hunter, R., Ambler, G., Bunce, C., Wormald, R., Nathwani, N., Barton, K., Rubin, G., Buszewicz, M., Ambler, G., Barton, K., Bourne, R., Broadway, D., Bunce, C., Buszewicz, M., … Zhu, H. (2019). Selective laser trabeculoplasty versus eye drops for first-line treatment of ocular hypertension and glaucoma (LiGHT): A multicentre randomised controlled trial. </w:t>
      </w:r>
      <w:r w:rsidRPr="002C381E">
        <w:rPr>
          <w:i/>
          <w:iCs/>
        </w:rPr>
        <w:t>The Lancet</w:t>
      </w:r>
      <w:r w:rsidRPr="002C381E">
        <w:t xml:space="preserve">, </w:t>
      </w:r>
      <w:r w:rsidRPr="002C381E">
        <w:rPr>
          <w:i/>
          <w:iCs/>
        </w:rPr>
        <w:t>393</w:t>
      </w:r>
      <w:r w:rsidRPr="002C381E">
        <w:t>(10180), 1505–1516. https://doi.org/10.1016/S0140-6736(18)32213-X</w:t>
      </w:r>
    </w:p>
    <w:p w14:paraId="0C74CEEB" w14:textId="77777777" w:rsidR="002C381E" w:rsidRPr="002C381E" w:rsidRDefault="002C381E" w:rsidP="002C381E">
      <w:pPr>
        <w:pStyle w:val="Bibliography"/>
      </w:pPr>
      <w:r w:rsidRPr="002C381E">
        <w:t xml:space="preserve">Gedde, S. J., Feuer, W. J., Lim, K. S., Barton, K., Goyal, S., Ahmed, I. I., Brandt, J. D., Banitt, M., Budenz, D., Lee, R., Palmberg, P., Parrish, R., Vazquez, L., Wellik, S., Werner, M., Zink, J., Khatana, A., Grover, D., Neelakantan, A., … Wright, M. (2022). Treatment Outcomes in the Primary Tube Versus Trabeculectomy Study after 5 Years of Follow-up. </w:t>
      </w:r>
      <w:r w:rsidRPr="002C381E">
        <w:rPr>
          <w:i/>
          <w:iCs/>
        </w:rPr>
        <w:t>Ophthalmology</w:t>
      </w:r>
      <w:r w:rsidRPr="002C381E">
        <w:t xml:space="preserve">, </w:t>
      </w:r>
      <w:r w:rsidRPr="002C381E">
        <w:rPr>
          <w:i/>
          <w:iCs/>
        </w:rPr>
        <w:t>129</w:t>
      </w:r>
      <w:r w:rsidRPr="002C381E">
        <w:t>(12), 1344–1356. https://doi.org/10.1016/j.ophtha.2022.07.003</w:t>
      </w:r>
    </w:p>
    <w:p w14:paraId="7832CC88" w14:textId="77777777" w:rsidR="002C381E" w:rsidRPr="002C381E" w:rsidRDefault="002C381E" w:rsidP="002C381E">
      <w:pPr>
        <w:pStyle w:val="Bibliography"/>
      </w:pPr>
      <w:r w:rsidRPr="002C381E">
        <w:t xml:space="preserve">Gedde, S. J., Feuer, W. J., Lim, K. S., Barton, K., Goyal, S., Ahmed, I. I., Brandt, J. D., &amp; Primary Tube Versus Trabeculectomy Study Group. (2022). Postoperative Complications in the Primary Tube Versus Trabeculectomy Study During 5 Years of Follow-up. </w:t>
      </w:r>
      <w:r w:rsidRPr="002C381E">
        <w:rPr>
          <w:i/>
          <w:iCs/>
        </w:rPr>
        <w:t>Ophthalmology</w:t>
      </w:r>
      <w:r w:rsidRPr="002C381E">
        <w:t xml:space="preserve">, </w:t>
      </w:r>
      <w:r w:rsidRPr="002C381E">
        <w:rPr>
          <w:i/>
          <w:iCs/>
        </w:rPr>
        <w:t>129</w:t>
      </w:r>
      <w:r w:rsidRPr="002C381E">
        <w:t>(12), 1357–1367. https://doi.org/10.1016/j.ophtha.2022.07.004</w:t>
      </w:r>
    </w:p>
    <w:p w14:paraId="4FDD8254" w14:textId="77777777" w:rsidR="002C381E" w:rsidRPr="002C381E" w:rsidRDefault="002C381E" w:rsidP="002C381E">
      <w:pPr>
        <w:pStyle w:val="Bibliography"/>
      </w:pPr>
      <w:r w:rsidRPr="002C381E">
        <w:t xml:space="preserve">Gedde, S. J., Feuer, W. J., Lim, K. S., Barton, K., Goyal, S., Ahmed, I. I. K., &amp; Brandt, J. D. (2020). Treatment Outcomes in the Primary Tube Versus Trabeculectomy Study after 3 Years of Follow-up. </w:t>
      </w:r>
      <w:r w:rsidRPr="002C381E">
        <w:rPr>
          <w:i/>
          <w:iCs/>
        </w:rPr>
        <w:t>Ophthalmology</w:t>
      </w:r>
      <w:r w:rsidRPr="002C381E">
        <w:t xml:space="preserve">, </w:t>
      </w:r>
      <w:r w:rsidRPr="002C381E">
        <w:rPr>
          <w:i/>
          <w:iCs/>
        </w:rPr>
        <w:t>127</w:t>
      </w:r>
      <w:r w:rsidRPr="002C381E">
        <w:t>(3), 333–345. https://doi.org/10.1016/j.ophtha.2019.10.002</w:t>
      </w:r>
    </w:p>
    <w:p w14:paraId="7FDDB358" w14:textId="77777777" w:rsidR="002C381E" w:rsidRPr="002C381E" w:rsidRDefault="002C381E" w:rsidP="002C381E">
      <w:pPr>
        <w:pStyle w:val="Bibliography"/>
      </w:pPr>
      <w:r w:rsidRPr="002C381E">
        <w:t xml:space="preserve">Gedde, S. J., Vinod, K., Wright, M. M., Muir, K. W., Lind, J. T., Chen, P. P., Li, T., &amp; Mansberger, S. L. (2021a). Primary Open-Angle Glaucoma Preferred Practice Pattern®. </w:t>
      </w:r>
      <w:r w:rsidRPr="002C381E">
        <w:rPr>
          <w:i/>
          <w:iCs/>
        </w:rPr>
        <w:t>Ophthalmology</w:t>
      </w:r>
      <w:r w:rsidRPr="002C381E">
        <w:t xml:space="preserve">, </w:t>
      </w:r>
      <w:r w:rsidRPr="002C381E">
        <w:rPr>
          <w:i/>
          <w:iCs/>
        </w:rPr>
        <w:t>128</w:t>
      </w:r>
      <w:r w:rsidRPr="002C381E">
        <w:t>(1), P71–P150. https://doi.org/10.1016/j.ophtha.2020.10.022</w:t>
      </w:r>
    </w:p>
    <w:p w14:paraId="77362735" w14:textId="77777777" w:rsidR="002C381E" w:rsidRPr="002C381E" w:rsidRDefault="002C381E" w:rsidP="002C381E">
      <w:pPr>
        <w:pStyle w:val="Bibliography"/>
      </w:pPr>
      <w:r w:rsidRPr="002C381E">
        <w:lastRenderedPageBreak/>
        <w:t xml:space="preserve">Gedde, S. J., Vinod, K., Wright, M. M., Muir, K. W., Lind, J. T., Chen, P. P., Li, T., &amp; Mansberger, S. L. (2021b). Primary Open-Angle Glaucoma Preferred Practice Pattern®. </w:t>
      </w:r>
      <w:r w:rsidRPr="002C381E">
        <w:rPr>
          <w:i/>
          <w:iCs/>
        </w:rPr>
        <w:t>Ophthalmology</w:t>
      </w:r>
      <w:r w:rsidRPr="002C381E">
        <w:t xml:space="preserve">, </w:t>
      </w:r>
      <w:r w:rsidRPr="002C381E">
        <w:rPr>
          <w:i/>
          <w:iCs/>
        </w:rPr>
        <w:t>128</w:t>
      </w:r>
      <w:r w:rsidRPr="002C381E">
        <w:t>(1), P71–P150. https://doi.org/10.1016/j.ophtha.2020.10.022</w:t>
      </w:r>
    </w:p>
    <w:p w14:paraId="738B205A" w14:textId="77777777" w:rsidR="002C381E" w:rsidRPr="002C381E" w:rsidRDefault="002C381E" w:rsidP="002C381E">
      <w:pPr>
        <w:pStyle w:val="Bibliography"/>
      </w:pPr>
      <w:r w:rsidRPr="002C381E">
        <w:t xml:space="preserve">Godinho, G., Barbosa-Breda, J., Oliveira-Ferreira, C., Madeira, C., Melo, A., Falcão-Reis, F., &amp; Estrela-Silva, S. (2021). Anterior Chamber Versus Ciliary Sulcus Ahmed Glaucoma Valve Tube Placement: Longitudinal Evaluation of Corneal Endothelial Cell Profiles. </w:t>
      </w:r>
      <w:r w:rsidRPr="002C381E">
        <w:rPr>
          <w:i/>
          <w:iCs/>
        </w:rPr>
        <w:t>Journal of Glaucoma</w:t>
      </w:r>
      <w:r w:rsidRPr="002C381E">
        <w:t xml:space="preserve">, </w:t>
      </w:r>
      <w:r w:rsidRPr="002C381E">
        <w:rPr>
          <w:i/>
          <w:iCs/>
        </w:rPr>
        <w:t>30</w:t>
      </w:r>
      <w:r w:rsidRPr="002C381E">
        <w:t>(2), 170–174. https://doi.org/10.1097/IJG.0000000000001700</w:t>
      </w:r>
    </w:p>
    <w:p w14:paraId="3B64FF87" w14:textId="77777777" w:rsidR="002C381E" w:rsidRPr="002C381E" w:rsidRDefault="002C381E" w:rsidP="002C381E">
      <w:pPr>
        <w:pStyle w:val="Bibliography"/>
      </w:pPr>
      <w:r w:rsidRPr="002C381E">
        <w:t xml:space="preserve">Governatori, L., Oliverio, L., Mermoud, A., Scampoli, A., Sarati, F., Carradori, A., Catalani, R., Monaco, C., Caporossi, T., &amp; Rizzo, S. (2025). PreserFlo MicroShunt versus trabeculectomy: An updated meta-analysis and systematic review. </w:t>
      </w:r>
      <w:r w:rsidRPr="002C381E">
        <w:rPr>
          <w:i/>
          <w:iCs/>
        </w:rPr>
        <w:t>Graefe’s Archive for Clinical and Experimental Ophthalmology</w:t>
      </w:r>
      <w:r w:rsidRPr="002C381E">
        <w:t xml:space="preserve">, </w:t>
      </w:r>
      <w:r w:rsidRPr="002C381E">
        <w:rPr>
          <w:i/>
          <w:iCs/>
        </w:rPr>
        <w:t>263</w:t>
      </w:r>
      <w:r w:rsidRPr="002C381E">
        <w:t>(4), 885–899. https://doi.org/10.1007/s00417-024-06649-w</w:t>
      </w:r>
    </w:p>
    <w:p w14:paraId="2CABA800" w14:textId="77777777" w:rsidR="002C381E" w:rsidRPr="002C381E" w:rsidRDefault="002C381E" w:rsidP="002C381E">
      <w:pPr>
        <w:pStyle w:val="Bibliography"/>
      </w:pPr>
      <w:r w:rsidRPr="002C381E">
        <w:t xml:space="preserve">Grieshaber, M. C., Pienaar, A., Olivier, J., &amp; Stegmann, R. (2010). Canaloplasty for primary open-angle glaucoma: Long-term outcome. </w:t>
      </w:r>
      <w:r w:rsidRPr="002C381E">
        <w:rPr>
          <w:i/>
          <w:iCs/>
        </w:rPr>
        <w:t>The British Journal of Ophthalmology</w:t>
      </w:r>
      <w:r w:rsidRPr="002C381E">
        <w:t xml:space="preserve">, </w:t>
      </w:r>
      <w:r w:rsidRPr="002C381E">
        <w:rPr>
          <w:i/>
          <w:iCs/>
        </w:rPr>
        <w:t>94</w:t>
      </w:r>
      <w:r w:rsidRPr="002C381E">
        <w:t>(11), 1478–1482. https://doi.org/10.1136/bjo.2009.163170</w:t>
      </w:r>
    </w:p>
    <w:p w14:paraId="5058C631" w14:textId="77777777" w:rsidR="002C381E" w:rsidRPr="002C381E" w:rsidRDefault="002C381E" w:rsidP="002C381E">
      <w:pPr>
        <w:pStyle w:val="Bibliography"/>
      </w:pPr>
      <w:r w:rsidRPr="002C381E">
        <w:t xml:space="preserve">Grover, D. S., Godfrey, D. G., Smith, O., Feuer, W. J., Montes De Oca, I., &amp; Fellman, R. L. (2014). Gonioscopy-Assisted Transluminal Trabeculotomy, Ab Interno Trabeculotomy. </w:t>
      </w:r>
      <w:r w:rsidRPr="002C381E">
        <w:rPr>
          <w:i/>
          <w:iCs/>
        </w:rPr>
        <w:t>Ophthalmology</w:t>
      </w:r>
      <w:r w:rsidRPr="002C381E">
        <w:t xml:space="preserve">, </w:t>
      </w:r>
      <w:r w:rsidRPr="002C381E">
        <w:rPr>
          <w:i/>
          <w:iCs/>
        </w:rPr>
        <w:t>121</w:t>
      </w:r>
      <w:r w:rsidRPr="002C381E">
        <w:t>(4), 855–861. https://doi.org/10.1016/j.ophtha.2013.11.001</w:t>
      </w:r>
    </w:p>
    <w:p w14:paraId="78B8167F" w14:textId="77777777" w:rsidR="002C381E" w:rsidRPr="002C381E" w:rsidRDefault="002C381E" w:rsidP="002C381E">
      <w:pPr>
        <w:pStyle w:val="Bibliography"/>
      </w:pPr>
      <w:r w:rsidRPr="002C381E">
        <w:t xml:space="preserve">Hengerer, F. H., Auffarth, G. U., &amp; Conrad-Hengerer, I. (2022). iStent inject Trabecular Micro-Bypass with or Without Cataract Surgery Yields Sustained 5-Year Glaucoma Control. </w:t>
      </w:r>
      <w:r w:rsidRPr="002C381E">
        <w:rPr>
          <w:i/>
          <w:iCs/>
        </w:rPr>
        <w:t>Advances in Therapy</w:t>
      </w:r>
      <w:r w:rsidRPr="002C381E">
        <w:t xml:space="preserve">, </w:t>
      </w:r>
      <w:r w:rsidRPr="002C381E">
        <w:rPr>
          <w:i/>
          <w:iCs/>
        </w:rPr>
        <w:t>39</w:t>
      </w:r>
      <w:r w:rsidRPr="002C381E">
        <w:t>(3), 1417–1431. https://doi.org/10.1007/s12325-021-02039-4</w:t>
      </w:r>
    </w:p>
    <w:p w14:paraId="4943F807" w14:textId="77777777" w:rsidR="002C381E" w:rsidRPr="002C381E" w:rsidRDefault="002C381E" w:rsidP="002C381E">
      <w:pPr>
        <w:pStyle w:val="Bibliography"/>
      </w:pPr>
      <w:r w:rsidRPr="002C381E">
        <w:t xml:space="preserve">Hu, K., Shah, A., Virgili, G., Bunce, C., &amp; Gazzard, G. (2021). Ab interno trabecular bypass surgery with Trabectome for open-angle glaucoma. </w:t>
      </w:r>
      <w:r w:rsidRPr="002C381E">
        <w:rPr>
          <w:i/>
          <w:iCs/>
        </w:rPr>
        <w:t>Cochrane Database of Systematic Reviews</w:t>
      </w:r>
      <w:r w:rsidRPr="002C381E">
        <w:t xml:space="preserve">, </w:t>
      </w:r>
      <w:r w:rsidRPr="002C381E">
        <w:rPr>
          <w:i/>
          <w:iCs/>
        </w:rPr>
        <w:t>2021</w:t>
      </w:r>
      <w:r w:rsidRPr="002C381E">
        <w:t>(2). https://doi.org/10.1002/14651858.CD011693.pub3</w:t>
      </w:r>
    </w:p>
    <w:p w14:paraId="4F8F01FA" w14:textId="77777777" w:rsidR="002C381E" w:rsidRPr="002C381E" w:rsidRDefault="002C381E" w:rsidP="002C381E">
      <w:pPr>
        <w:pStyle w:val="Bibliography"/>
      </w:pPr>
      <w:r w:rsidRPr="002C381E">
        <w:lastRenderedPageBreak/>
        <w:t xml:space="preserve">Iwasaki, K., Arimura, S., Takihara, Y., Takamura, Y., &amp; Inatani, M. (2018). Prospective cohort study of corneal endothelial cell loss after Baerveldt glaucoma implantation. </w:t>
      </w:r>
      <w:r w:rsidRPr="002C381E">
        <w:rPr>
          <w:i/>
          <w:iCs/>
        </w:rPr>
        <w:t>PLOS ONE</w:t>
      </w:r>
      <w:r w:rsidRPr="002C381E">
        <w:t xml:space="preserve">, </w:t>
      </w:r>
      <w:r w:rsidRPr="002C381E">
        <w:rPr>
          <w:i/>
          <w:iCs/>
        </w:rPr>
        <w:t>13</w:t>
      </w:r>
      <w:r w:rsidRPr="002C381E">
        <w:t>(7), e0201342. https://doi.org/10.1371/journal.pone.0201342</w:t>
      </w:r>
    </w:p>
    <w:p w14:paraId="3C4BC111" w14:textId="77777777" w:rsidR="002C381E" w:rsidRPr="002C381E" w:rsidRDefault="002C381E" w:rsidP="002C381E">
      <w:pPr>
        <w:pStyle w:val="Bibliography"/>
      </w:pPr>
      <w:r w:rsidRPr="002C381E">
        <w:t xml:space="preserve">Jabłońska, J., Lewczuk, K., &amp; Rękas, M. T. (2023). Comparison of Safety and Efficacy of Hydrus and iStent Combined with Phacoemulsyfication in Open Angle Glaucoma Patients: 24-Month Follow-Up. </w:t>
      </w:r>
      <w:r w:rsidRPr="002C381E">
        <w:rPr>
          <w:i/>
          <w:iCs/>
        </w:rPr>
        <w:t>International Journal of Environmental Research and Public Health</w:t>
      </w:r>
      <w:r w:rsidRPr="002C381E">
        <w:t xml:space="preserve">, </w:t>
      </w:r>
      <w:r w:rsidRPr="002C381E">
        <w:rPr>
          <w:i/>
          <w:iCs/>
        </w:rPr>
        <w:t>20</w:t>
      </w:r>
      <w:r w:rsidRPr="002C381E">
        <w:t>(5), 4152. https://doi.org/10.3390/ijerph20054152</w:t>
      </w:r>
    </w:p>
    <w:p w14:paraId="413A7C92" w14:textId="77777777" w:rsidR="002C381E" w:rsidRPr="002C381E" w:rsidRDefault="002C381E" w:rsidP="002C381E">
      <w:pPr>
        <w:pStyle w:val="Bibliography"/>
      </w:pPr>
      <w:r w:rsidRPr="002C381E">
        <w:t xml:space="preserve">Jayaram, H., Kolko, M., Friedman, D. S., &amp; Gazzard, G. (2023). Glaucoma: Now and beyond. </w:t>
      </w:r>
      <w:r w:rsidRPr="002C381E">
        <w:rPr>
          <w:i/>
          <w:iCs/>
        </w:rPr>
        <w:t>The Lancet</w:t>
      </w:r>
      <w:r w:rsidRPr="002C381E">
        <w:t xml:space="preserve">, </w:t>
      </w:r>
      <w:r w:rsidRPr="002C381E">
        <w:rPr>
          <w:i/>
          <w:iCs/>
        </w:rPr>
        <w:t>402</w:t>
      </w:r>
      <w:r w:rsidRPr="002C381E">
        <w:t>(10414), 1788–1801. https://doi.org/10.1016/S0140-6736(23)01289-8</w:t>
      </w:r>
    </w:p>
    <w:p w14:paraId="7BC9CD3E" w14:textId="77777777" w:rsidR="002C381E" w:rsidRPr="002C381E" w:rsidRDefault="002C381E" w:rsidP="002C381E">
      <w:pPr>
        <w:pStyle w:val="Bibliography"/>
      </w:pPr>
      <w:r w:rsidRPr="002C381E">
        <w:t xml:space="preserve">Kelada, M., Normando, E. M., Cordeiro, F. M., Crawley, L., Ahmed, F., Ameen, S., Vig, N., &amp; Bloom, P. (2024). Cyclodiode vs micropulse transscleral laser treatment. </w:t>
      </w:r>
      <w:r w:rsidRPr="002C381E">
        <w:rPr>
          <w:i/>
          <w:iCs/>
        </w:rPr>
        <w:t>Eye</w:t>
      </w:r>
      <w:r w:rsidRPr="002C381E">
        <w:t xml:space="preserve">, </w:t>
      </w:r>
      <w:r w:rsidRPr="002C381E">
        <w:rPr>
          <w:i/>
          <w:iCs/>
        </w:rPr>
        <w:t>38</w:t>
      </w:r>
      <w:r w:rsidRPr="002C381E">
        <w:t>(8), 1477–1484. https://doi.org/10.1038/s41433-024-02929-1</w:t>
      </w:r>
    </w:p>
    <w:p w14:paraId="07D3CC6C" w14:textId="77777777" w:rsidR="002C381E" w:rsidRPr="002C381E" w:rsidRDefault="002C381E" w:rsidP="002C381E">
      <w:pPr>
        <w:pStyle w:val="Bibliography"/>
      </w:pPr>
      <w:r w:rsidRPr="002C381E">
        <w:t xml:space="preserve">Khairy, H. A., Green, F. D., Nassar, M. K., &amp; Azuara-Blanco, A. (2006). Control of intraocular pressure after deep sclerectomy. </w:t>
      </w:r>
      <w:r w:rsidRPr="002C381E">
        <w:rPr>
          <w:i/>
          <w:iCs/>
        </w:rPr>
        <w:t>Eye (London, England)</w:t>
      </w:r>
      <w:r w:rsidRPr="002C381E">
        <w:t xml:space="preserve">, </w:t>
      </w:r>
      <w:r w:rsidRPr="002C381E">
        <w:rPr>
          <w:i/>
          <w:iCs/>
        </w:rPr>
        <w:t>20</w:t>
      </w:r>
      <w:r w:rsidRPr="002C381E">
        <w:t>(3), 336–340. https://doi.org/10.1038/sj.eye.6701878</w:t>
      </w:r>
    </w:p>
    <w:p w14:paraId="6355F950" w14:textId="77777777" w:rsidR="002C381E" w:rsidRPr="002C381E" w:rsidRDefault="002C381E" w:rsidP="002C381E">
      <w:pPr>
        <w:pStyle w:val="Bibliography"/>
      </w:pPr>
      <w:r w:rsidRPr="002C381E">
        <w:t xml:space="preserve">Kim, D. D. (2012). Cost-effectiveness of Medications Compared With Laser Trabeculoplasty in Patients With Newly Diagnosed Open-Angle Glaucoma. </w:t>
      </w:r>
      <w:r w:rsidRPr="002C381E">
        <w:rPr>
          <w:i/>
          <w:iCs/>
        </w:rPr>
        <w:t>Archives of Ophthalmology</w:t>
      </w:r>
      <w:r w:rsidRPr="002C381E">
        <w:t xml:space="preserve">, </w:t>
      </w:r>
      <w:r w:rsidRPr="002C381E">
        <w:rPr>
          <w:i/>
          <w:iCs/>
        </w:rPr>
        <w:t>130</w:t>
      </w:r>
      <w:r w:rsidRPr="002C381E">
        <w:t>(4), 497. https://doi.org/10.1001/archophthalmol.2011.2727</w:t>
      </w:r>
    </w:p>
    <w:p w14:paraId="744A6719" w14:textId="77777777" w:rsidR="002C381E" w:rsidRPr="002C381E" w:rsidRDefault="002C381E" w:rsidP="002C381E">
      <w:pPr>
        <w:pStyle w:val="Bibliography"/>
      </w:pPr>
      <w:r w:rsidRPr="002C381E">
        <w:t xml:space="preserve">Kirwan, J. F., Lockwood, A. J., Shah, P., Macleod, A., Broadway, D. C., King, A. J., McNaught, A. I., &amp; Agrawal, P. (2013). Trabeculectomy in the 21st Century. </w:t>
      </w:r>
      <w:r w:rsidRPr="002C381E">
        <w:rPr>
          <w:i/>
          <w:iCs/>
        </w:rPr>
        <w:t>Ophthalmology</w:t>
      </w:r>
      <w:r w:rsidRPr="002C381E">
        <w:t xml:space="preserve">, </w:t>
      </w:r>
      <w:r w:rsidRPr="002C381E">
        <w:rPr>
          <w:i/>
          <w:iCs/>
        </w:rPr>
        <w:t>120</w:t>
      </w:r>
      <w:r w:rsidRPr="002C381E">
        <w:t>(12), 2532–2539. https://doi.org/10.1016/j.ophtha.2013.07.049</w:t>
      </w:r>
    </w:p>
    <w:p w14:paraId="65621FA4" w14:textId="77777777" w:rsidR="002C381E" w:rsidRPr="002C381E" w:rsidRDefault="002C381E" w:rsidP="002C381E">
      <w:pPr>
        <w:pStyle w:val="Bibliography"/>
      </w:pPr>
      <w:r w:rsidRPr="002C381E">
        <w:t xml:space="preserve">Kono, Y., Kasahara, M., Hirasawa, K., Tsujisawa, T., Kanayama, S., Matsumura, K., Morita, T., &amp; Shoji, N. (2020). Long-term clinical results of trabectome surgery in patients with open-angle glaucoma. </w:t>
      </w:r>
      <w:r w:rsidRPr="002C381E">
        <w:rPr>
          <w:i/>
          <w:iCs/>
        </w:rPr>
        <w:t>Graefe’s Archive for Clinical and Experimental Ophthalmology</w:t>
      </w:r>
      <w:r w:rsidRPr="002C381E">
        <w:t xml:space="preserve">, </w:t>
      </w:r>
      <w:r w:rsidRPr="002C381E">
        <w:rPr>
          <w:i/>
          <w:iCs/>
        </w:rPr>
        <w:t>258</w:t>
      </w:r>
      <w:r w:rsidRPr="002C381E">
        <w:t>(11), 2467–2476. https://doi.org/10.1007/s00417-020-04897-0</w:t>
      </w:r>
    </w:p>
    <w:p w14:paraId="0064D6A3" w14:textId="77777777" w:rsidR="002C381E" w:rsidRPr="002C381E" w:rsidRDefault="002C381E" w:rsidP="002C381E">
      <w:pPr>
        <w:pStyle w:val="Bibliography"/>
      </w:pPr>
      <w:r w:rsidRPr="002C381E">
        <w:lastRenderedPageBreak/>
        <w:t xml:space="preserve">Konopińska, J., Gołaszewska, K., &amp; Saeed, E. (2024). Long-term efficacy and safety of ab externo canaloplasty in the Polish Caucasian population with open-angle glaucoma: A 3-year retrospective study. </w:t>
      </w:r>
      <w:r w:rsidRPr="002C381E">
        <w:rPr>
          <w:i/>
          <w:iCs/>
        </w:rPr>
        <w:t>PLOS ONE</w:t>
      </w:r>
      <w:r w:rsidRPr="002C381E">
        <w:t xml:space="preserve">, </w:t>
      </w:r>
      <w:r w:rsidRPr="002C381E">
        <w:rPr>
          <w:i/>
          <w:iCs/>
        </w:rPr>
        <w:t>19</w:t>
      </w:r>
      <w:r w:rsidRPr="002C381E">
        <w:t>(10), e0312236. https://doi.org/10.1371/journal.pone.0312236</w:t>
      </w:r>
    </w:p>
    <w:p w14:paraId="378AC896" w14:textId="77777777" w:rsidR="002C381E" w:rsidRPr="002C381E" w:rsidRDefault="002C381E" w:rsidP="002C381E">
      <w:pPr>
        <w:pStyle w:val="Bibliography"/>
      </w:pPr>
      <w:r w:rsidRPr="002C381E">
        <w:t xml:space="preserve">Konopińska, J., Lewczuk, K., Jabłońska, J., Mariak, Z., &amp; Rękas, M. (2021). Microinvasive Glaucoma Surgery: A Review of Schlemm’s Canal-Based Procedures. </w:t>
      </w:r>
      <w:r w:rsidRPr="002C381E">
        <w:rPr>
          <w:i/>
          <w:iCs/>
        </w:rPr>
        <w:t>Clinical Ophthalmology</w:t>
      </w:r>
      <w:r w:rsidRPr="002C381E">
        <w:t xml:space="preserve">, </w:t>
      </w:r>
      <w:r w:rsidRPr="002C381E">
        <w:rPr>
          <w:i/>
          <w:iCs/>
        </w:rPr>
        <w:t>Volume 15</w:t>
      </w:r>
      <w:r w:rsidRPr="002C381E">
        <w:t>, 1109–1118. https://doi.org/10.2147/opth.s293702</w:t>
      </w:r>
    </w:p>
    <w:p w14:paraId="623E0420" w14:textId="77777777" w:rsidR="002C381E" w:rsidRPr="002C381E" w:rsidRDefault="002C381E" w:rsidP="002C381E">
      <w:pPr>
        <w:pStyle w:val="Bibliography"/>
      </w:pPr>
      <w:r w:rsidRPr="002C381E">
        <w:t xml:space="preserve">Kramer, T. R., &amp; Noecker, R. J. (2001). Comparison of the morphologic changes after selective laser trabeculoplasty and argon laser trabeculoplasty in human eye bank eyes. </w:t>
      </w:r>
      <w:r w:rsidRPr="002C381E">
        <w:rPr>
          <w:i/>
          <w:iCs/>
        </w:rPr>
        <w:t>Ophthalmology</w:t>
      </w:r>
      <w:r w:rsidRPr="002C381E">
        <w:t xml:space="preserve">, </w:t>
      </w:r>
      <w:r w:rsidRPr="002C381E">
        <w:rPr>
          <w:i/>
          <w:iCs/>
        </w:rPr>
        <w:t>108</w:t>
      </w:r>
      <w:r w:rsidRPr="002C381E">
        <w:t>(4), 773–779. https://doi.org/10.1016/S0161-6420(00)00660-6</w:t>
      </w:r>
    </w:p>
    <w:p w14:paraId="00311B7E" w14:textId="77777777" w:rsidR="002C381E" w:rsidRPr="002C381E" w:rsidRDefault="002C381E" w:rsidP="002C381E">
      <w:pPr>
        <w:pStyle w:val="Bibliography"/>
      </w:pPr>
      <w:r w:rsidRPr="002C381E">
        <w:t xml:space="preserve">Lavia, C., Dallorto, L., Maule, M., Ceccarelli, M., &amp; Fea, A. M. (2017). Minimally-invasive glaucoma surgeries (MIGS) for open angle glaucoma: A systematic review and meta-analysis. </w:t>
      </w:r>
      <w:r w:rsidRPr="002C381E">
        <w:rPr>
          <w:i/>
          <w:iCs/>
        </w:rPr>
        <w:t>PLOS ONE</w:t>
      </w:r>
      <w:r w:rsidRPr="002C381E">
        <w:t xml:space="preserve">, </w:t>
      </w:r>
      <w:r w:rsidRPr="002C381E">
        <w:rPr>
          <w:i/>
          <w:iCs/>
        </w:rPr>
        <w:t>12</w:t>
      </w:r>
      <w:r w:rsidRPr="002C381E">
        <w:t>(8), e0183142. https://doi.org/10.1371/journal.pone.0183142</w:t>
      </w:r>
    </w:p>
    <w:p w14:paraId="76F85868" w14:textId="77777777" w:rsidR="002C381E" w:rsidRPr="002C381E" w:rsidRDefault="002C381E" w:rsidP="002C381E">
      <w:pPr>
        <w:pStyle w:val="Bibliography"/>
      </w:pPr>
      <w:r w:rsidRPr="002C381E">
        <w:t xml:space="preserve">Le, J. T., Bicket, A. K., Wang, L., &amp; Li, T. (2019). Ab interno trabecular bypass surgery with iStent for open-angle glaucoma. </w:t>
      </w:r>
      <w:r w:rsidRPr="002C381E">
        <w:rPr>
          <w:i/>
          <w:iCs/>
        </w:rPr>
        <w:t>Cochrane Database of Systematic Reviews</w:t>
      </w:r>
      <w:r w:rsidRPr="002C381E">
        <w:t xml:space="preserve">, </w:t>
      </w:r>
      <w:r w:rsidRPr="002C381E">
        <w:rPr>
          <w:i/>
          <w:iCs/>
        </w:rPr>
        <w:t>2019</w:t>
      </w:r>
      <w:r w:rsidRPr="002C381E">
        <w:t>(3). https://doi.org/10.1002/14651858.CD012743.pub2</w:t>
      </w:r>
    </w:p>
    <w:p w14:paraId="3064915C" w14:textId="77777777" w:rsidR="002C381E" w:rsidRPr="002C381E" w:rsidRDefault="002C381E" w:rsidP="002C381E">
      <w:pPr>
        <w:pStyle w:val="Bibliography"/>
      </w:pPr>
      <w:r w:rsidRPr="002C381E">
        <w:t xml:space="preserve">Lenzhofer, M., Hohensinn, M., Steiner, V., Hitzl, W., Runge, C., Trost, A., Colvin, H. P., Brunner, S., Preishuber‐Pflügl, J., &amp; Reitsamer, H. A. (2024). Mid‐term surgical success after transscleral ab interno glaucoma gel stent implantation. </w:t>
      </w:r>
      <w:r w:rsidRPr="002C381E">
        <w:rPr>
          <w:i/>
          <w:iCs/>
        </w:rPr>
        <w:t>Acta Ophthalmologica</w:t>
      </w:r>
      <w:r w:rsidRPr="002C381E">
        <w:t xml:space="preserve">, </w:t>
      </w:r>
      <w:r w:rsidRPr="002C381E">
        <w:rPr>
          <w:i/>
          <w:iCs/>
        </w:rPr>
        <w:t>102</w:t>
      </w:r>
      <w:r w:rsidRPr="002C381E">
        <w:t>(6). https://doi.org/10.1111/aos.16668</w:t>
      </w:r>
    </w:p>
    <w:p w14:paraId="1D2936CA" w14:textId="77777777" w:rsidR="002C381E" w:rsidRPr="002C381E" w:rsidRDefault="002C381E" w:rsidP="002C381E">
      <w:pPr>
        <w:pStyle w:val="Bibliography"/>
      </w:pPr>
      <w:r w:rsidRPr="002C381E">
        <w:t xml:space="preserve">Lewis, R. A. (2014). Ab interno approach to the subconjunctival space using a collagen glaucoma stent. </w:t>
      </w:r>
      <w:r w:rsidRPr="002C381E">
        <w:rPr>
          <w:i/>
          <w:iCs/>
        </w:rPr>
        <w:t>Journal of Cataract and Refractive Surgery</w:t>
      </w:r>
      <w:r w:rsidRPr="002C381E">
        <w:t xml:space="preserve">, </w:t>
      </w:r>
      <w:r w:rsidRPr="002C381E">
        <w:rPr>
          <w:i/>
          <w:iCs/>
        </w:rPr>
        <w:t>40</w:t>
      </w:r>
      <w:r w:rsidRPr="002C381E">
        <w:t>(8), 1301–1306. https://doi.org/10.1016/j.jcrs.2014.01.032</w:t>
      </w:r>
    </w:p>
    <w:p w14:paraId="512797FB" w14:textId="77777777" w:rsidR="002C381E" w:rsidRPr="002C381E" w:rsidRDefault="002C381E" w:rsidP="002C381E">
      <w:pPr>
        <w:pStyle w:val="Bibliography"/>
      </w:pPr>
      <w:r w:rsidRPr="002C381E">
        <w:t xml:space="preserve">Lewis, R. A., von Wolff, K., Tetz, M., Koerber, N., Kearney, J. R., Shingleton, B. J., &amp; Samuelson, T. W. (2011). Canaloplasty: Three-year results of circumferential viscodilation and tensioning of Schlemm canal using a microcatheter to treat open-angle </w:t>
      </w:r>
      <w:r w:rsidRPr="002C381E">
        <w:lastRenderedPageBreak/>
        <w:t xml:space="preserve">glaucoma. </w:t>
      </w:r>
      <w:r w:rsidRPr="002C381E">
        <w:rPr>
          <w:i/>
          <w:iCs/>
        </w:rPr>
        <w:t>Journal of Cataract and Refractive Surgery</w:t>
      </w:r>
      <w:r w:rsidRPr="002C381E">
        <w:t xml:space="preserve">, </w:t>
      </w:r>
      <w:r w:rsidRPr="002C381E">
        <w:rPr>
          <w:i/>
          <w:iCs/>
        </w:rPr>
        <w:t>37</w:t>
      </w:r>
      <w:r w:rsidRPr="002C381E">
        <w:t>(4), 682–690. https://doi.org/10.1016/j.jcrs.2010.10.055</w:t>
      </w:r>
    </w:p>
    <w:p w14:paraId="76FE65A7" w14:textId="77777777" w:rsidR="002C381E" w:rsidRPr="002C381E" w:rsidRDefault="002C381E" w:rsidP="002C381E">
      <w:pPr>
        <w:pStyle w:val="Bibliography"/>
      </w:pPr>
      <w:r w:rsidRPr="002C381E">
        <w:t xml:space="preserve">Lüke, J. N., Dietlein, T. S., Widder, R. A., Roessler, G. F., Lüke, V., Enders, P., Lappa, A., &amp; Kiessling, D. (2024). Matched case–control comparison of surgical success after </w:t>
      </w:r>
      <w:r w:rsidRPr="002C381E">
        <w:rPr>
          <w:smallCaps/>
        </w:rPr>
        <w:t>XEN45</w:t>
      </w:r>
      <w:r w:rsidRPr="002C381E">
        <w:t xml:space="preserve"> Gel Stent and </w:t>
      </w:r>
      <w:r w:rsidRPr="002C381E">
        <w:rPr>
          <w:smallCaps/>
        </w:rPr>
        <w:t>PRESERFLO MicroShunt</w:t>
      </w:r>
      <w:r w:rsidRPr="002C381E">
        <w:t xml:space="preserve"> implantation in a Caucasian population. </w:t>
      </w:r>
      <w:r w:rsidRPr="002C381E">
        <w:rPr>
          <w:i/>
          <w:iCs/>
        </w:rPr>
        <w:t>Clinical &amp; Experimental Ophthalmology</w:t>
      </w:r>
      <w:r w:rsidRPr="002C381E">
        <w:t xml:space="preserve">, </w:t>
      </w:r>
      <w:r w:rsidRPr="002C381E">
        <w:rPr>
          <w:i/>
          <w:iCs/>
        </w:rPr>
        <w:t>52</w:t>
      </w:r>
      <w:r w:rsidRPr="002C381E">
        <w:t>(7), 732–739. https://doi.org/10.1111/ceo.14407</w:t>
      </w:r>
    </w:p>
    <w:p w14:paraId="188E9FF9" w14:textId="77777777" w:rsidR="002C381E" w:rsidRPr="002C381E" w:rsidRDefault="002C381E" w:rsidP="002C381E">
      <w:pPr>
        <w:pStyle w:val="Bibliography"/>
      </w:pPr>
      <w:r w:rsidRPr="002C381E">
        <w:t xml:space="preserve">Magacho, L., Franco, C. G. V. D. S., I, E. A., Pereira, A. C. A., Teno, B., Lucena-Neto, F., Faria, B. M., Vieira, J. M., Vianello, M. P., &amp; Kanadani, F. N. (2024). Gonioscopy-Assisted Transluminal Trabeculotomy Outcomes Under Different Levels of Glaucoma Severity: A Multicenter, Comparative Study. </w:t>
      </w:r>
      <w:r w:rsidRPr="002C381E">
        <w:rPr>
          <w:i/>
          <w:iCs/>
        </w:rPr>
        <w:t>American Journal of Ophthalmology</w:t>
      </w:r>
      <w:r w:rsidRPr="002C381E">
        <w:t xml:space="preserve">, </w:t>
      </w:r>
      <w:r w:rsidRPr="002C381E">
        <w:rPr>
          <w:i/>
          <w:iCs/>
        </w:rPr>
        <w:t>264</w:t>
      </w:r>
      <w:r w:rsidRPr="002C381E">
        <w:t>, 75–84. https://doi.org/10.1016/j.ajo.2024.02.033</w:t>
      </w:r>
    </w:p>
    <w:p w14:paraId="329BC0F1" w14:textId="77777777" w:rsidR="002C381E" w:rsidRPr="002C381E" w:rsidRDefault="002C381E" w:rsidP="002C381E">
      <w:pPr>
        <w:pStyle w:val="Bibliography"/>
      </w:pPr>
      <w:r w:rsidRPr="002C381E">
        <w:t xml:space="preserve">Martínez-de-la-Casa, J. M., Pascual-Santiago, A., Morales-Fernandez, L., Saez-Frances, F., Garcia-Saenz, S., Guemes-Villahoz, N., Sanchez-Jean, R., Mendez, C., &amp; Garcia-Feijoo, J. (2025). Xen 63 versus Preserflo MicroShunt implant in patients with primary open-angle glaucoma. </w:t>
      </w:r>
      <w:r w:rsidRPr="002C381E">
        <w:rPr>
          <w:i/>
          <w:iCs/>
        </w:rPr>
        <w:t>Scientific Reports</w:t>
      </w:r>
      <w:r w:rsidRPr="002C381E">
        <w:t xml:space="preserve">, </w:t>
      </w:r>
      <w:r w:rsidRPr="002C381E">
        <w:rPr>
          <w:i/>
          <w:iCs/>
        </w:rPr>
        <w:t>15</w:t>
      </w:r>
      <w:r w:rsidRPr="002C381E">
        <w:t>(1), 1634. https://doi.org/10.1038/s41598-024-81616-3</w:t>
      </w:r>
    </w:p>
    <w:p w14:paraId="1C459AD8" w14:textId="77777777" w:rsidR="002C381E" w:rsidRPr="002C381E" w:rsidRDefault="002C381E" w:rsidP="002C381E">
      <w:pPr>
        <w:pStyle w:val="Bibliography"/>
      </w:pPr>
      <w:r w:rsidRPr="002C381E">
        <w:t xml:space="preserve">Mendrinos, E., Mermoud, A., &amp; Shaarawy, T. (2008). Nonpenetrating glaucoma surgery. </w:t>
      </w:r>
      <w:r w:rsidRPr="002C381E">
        <w:rPr>
          <w:i/>
          <w:iCs/>
        </w:rPr>
        <w:t>Survey of Ophthalmology</w:t>
      </w:r>
      <w:r w:rsidRPr="002C381E">
        <w:t xml:space="preserve">, </w:t>
      </w:r>
      <w:r w:rsidRPr="002C381E">
        <w:rPr>
          <w:i/>
          <w:iCs/>
        </w:rPr>
        <w:t>53</w:t>
      </w:r>
      <w:r w:rsidRPr="002C381E">
        <w:t>(6), 592–630. https://doi.org/10.1016/j.survophthal.2008.08.023</w:t>
      </w:r>
    </w:p>
    <w:p w14:paraId="35521A46" w14:textId="77777777" w:rsidR="002C381E" w:rsidRPr="002C381E" w:rsidRDefault="002C381E" w:rsidP="002C381E">
      <w:pPr>
        <w:pStyle w:val="Bibliography"/>
      </w:pPr>
      <w:r w:rsidRPr="002C381E">
        <w:t xml:space="preserve">Mercieca, K., Azzopardi, M., Vallabh, N. A., Cristian, C., Prokosch, V., Dubois, V., Hemmerdinger, C., De Cillà, S., Mathews, D., Mermoud, A., Grieshaber, M. C., Mégevand, G. S., Anand, N., &amp; Rabiolo, A. (2025). Comparison of Outcomes of Deep Sclerectomy, Canaloplasty, and Viscocanaloplasty: A Multicenter Study. </w:t>
      </w:r>
      <w:r w:rsidRPr="002C381E">
        <w:rPr>
          <w:i/>
          <w:iCs/>
        </w:rPr>
        <w:t>Journal of Glaucoma</w:t>
      </w:r>
      <w:r w:rsidRPr="002C381E">
        <w:t xml:space="preserve">, </w:t>
      </w:r>
      <w:r w:rsidRPr="002C381E">
        <w:rPr>
          <w:i/>
          <w:iCs/>
        </w:rPr>
        <w:t>34</w:t>
      </w:r>
      <w:r w:rsidRPr="002C381E">
        <w:t>(5), 349–357. https://doi.org/10.1097/IJG.0000000000002535</w:t>
      </w:r>
    </w:p>
    <w:p w14:paraId="29C6C60C" w14:textId="77777777" w:rsidR="002C381E" w:rsidRPr="002C381E" w:rsidRDefault="002C381E" w:rsidP="002C381E">
      <w:pPr>
        <w:pStyle w:val="Bibliography"/>
      </w:pPr>
      <w:r w:rsidRPr="002C381E">
        <w:lastRenderedPageBreak/>
        <w:t xml:space="preserve">Mieno, H., Mori, K., Yoshii, K., Okada, Y., Ikeda, Y., Ueno, M., &amp; Sotozono, C. (2025). Risk factors and protective strategies for hypotony following preserflo microshunt implantation. </w:t>
      </w:r>
      <w:r w:rsidRPr="002C381E">
        <w:rPr>
          <w:i/>
          <w:iCs/>
        </w:rPr>
        <w:t>Scientific Reports</w:t>
      </w:r>
      <w:r w:rsidRPr="002C381E">
        <w:t xml:space="preserve">, </w:t>
      </w:r>
      <w:r w:rsidRPr="002C381E">
        <w:rPr>
          <w:i/>
          <w:iCs/>
        </w:rPr>
        <w:t>15</w:t>
      </w:r>
      <w:r w:rsidRPr="002C381E">
        <w:t>(1), 8344. https://doi.org/10.1038/s41598-025-92879-9</w:t>
      </w:r>
    </w:p>
    <w:p w14:paraId="49A8934D" w14:textId="77777777" w:rsidR="002C381E" w:rsidRPr="002C381E" w:rsidRDefault="002C381E" w:rsidP="002C381E">
      <w:pPr>
        <w:pStyle w:val="Bibliography"/>
      </w:pPr>
      <w:r w:rsidRPr="002C381E">
        <w:t xml:space="preserve">Molteno, A. C. B. (2011). Long-term Results of Primary Trabeculectomies and Molteno Implants for Primary Open-Angle Glaucoma. </w:t>
      </w:r>
      <w:r w:rsidRPr="002C381E">
        <w:rPr>
          <w:i/>
          <w:iCs/>
        </w:rPr>
        <w:t>Archives of Ophthalmology</w:t>
      </w:r>
      <w:r w:rsidRPr="002C381E">
        <w:t xml:space="preserve">, </w:t>
      </w:r>
      <w:r w:rsidRPr="002C381E">
        <w:rPr>
          <w:i/>
          <w:iCs/>
        </w:rPr>
        <w:t>129</w:t>
      </w:r>
      <w:r w:rsidRPr="002C381E">
        <w:t>(11), 1444. https://doi.org/10.1001/archophthalmol.2011.221</w:t>
      </w:r>
    </w:p>
    <w:p w14:paraId="6327BBC0" w14:textId="77777777" w:rsidR="002C381E" w:rsidRPr="002C381E" w:rsidRDefault="002C381E" w:rsidP="002C381E">
      <w:pPr>
        <w:pStyle w:val="Bibliography"/>
      </w:pPr>
      <w:r w:rsidRPr="002C381E">
        <w:t xml:space="preserve">Newman-Casey, P. A., Blachley, T., Lee, P. P., Heisler, M., Farris, K. B., &amp; Stein, J. D. (2015). Patterns of Glaucoma Medication Adherence over Four Years of Follow-Up. </w:t>
      </w:r>
      <w:r w:rsidRPr="002C381E">
        <w:rPr>
          <w:i/>
          <w:iCs/>
        </w:rPr>
        <w:t>Ophthalmology</w:t>
      </w:r>
      <w:r w:rsidRPr="002C381E">
        <w:t xml:space="preserve">, </w:t>
      </w:r>
      <w:r w:rsidRPr="002C381E">
        <w:rPr>
          <w:i/>
          <w:iCs/>
        </w:rPr>
        <w:t>122</w:t>
      </w:r>
      <w:r w:rsidRPr="002C381E">
        <w:t>(10), 2010–2021. https://doi.org/10.1016/j.ophtha.2015.06.039</w:t>
      </w:r>
    </w:p>
    <w:p w14:paraId="065A993C" w14:textId="77777777" w:rsidR="002C381E" w:rsidRPr="002C381E" w:rsidRDefault="002C381E" w:rsidP="002C381E">
      <w:pPr>
        <w:pStyle w:val="Bibliography"/>
      </w:pPr>
      <w:r w:rsidRPr="002C381E">
        <w:t xml:space="preserve">Ojanen, E. S., Turunen, J. A., &amp; Harju, M. (2025). The incidence of serious complications after selective laser trabeculoplasty. </w:t>
      </w:r>
      <w:r w:rsidRPr="002C381E">
        <w:rPr>
          <w:i/>
          <w:iCs/>
        </w:rPr>
        <w:t>Acta Ophthalmologica</w:t>
      </w:r>
      <w:r w:rsidRPr="002C381E">
        <w:t>, aos.17536. https://doi.org/10.1111/aos.17536</w:t>
      </w:r>
    </w:p>
    <w:p w14:paraId="5CB53629" w14:textId="77777777" w:rsidR="002C381E" w:rsidRPr="002C381E" w:rsidRDefault="002C381E" w:rsidP="002C381E">
      <w:pPr>
        <w:pStyle w:val="Bibliography"/>
      </w:pPr>
      <w:r w:rsidRPr="002C381E">
        <w:t xml:space="preserve">Olayanju, J. A., Hassan, M. B., Hodge, D. O., &amp; Khanna, C. L. (2015). Trabeculectomy-Related Complications in Olmsted County, Minnesota, 1985 Through 2010. </w:t>
      </w:r>
      <w:r w:rsidRPr="002C381E">
        <w:rPr>
          <w:i/>
          <w:iCs/>
        </w:rPr>
        <w:t>JAMA Ophthalmology</w:t>
      </w:r>
      <w:r w:rsidRPr="002C381E">
        <w:t xml:space="preserve">, </w:t>
      </w:r>
      <w:r w:rsidRPr="002C381E">
        <w:rPr>
          <w:i/>
          <w:iCs/>
        </w:rPr>
        <w:t>133</w:t>
      </w:r>
      <w:r w:rsidRPr="002C381E">
        <w:t>(5), 574. https://doi.org/10.1001/jamaophthalmol.2015.57</w:t>
      </w:r>
    </w:p>
    <w:p w14:paraId="2EEBB8E8" w14:textId="77777777" w:rsidR="002C381E" w:rsidRPr="002C381E" w:rsidRDefault="002C381E" w:rsidP="002C381E">
      <w:pPr>
        <w:pStyle w:val="Bibliography"/>
      </w:pPr>
      <w:r w:rsidRPr="002C381E">
        <w:t xml:space="preserve">Otarola, F., Virgili, G., Shah, A., Hu, K., Bunce, C., &amp; Gazzard, G. (2020). Ab interno trabecular bypass surgery with Schlemm´s canal microstent (Hydrus) for open angle glaucoma. </w:t>
      </w:r>
      <w:r w:rsidRPr="002C381E">
        <w:rPr>
          <w:i/>
          <w:iCs/>
        </w:rPr>
        <w:t>Cochrane Database of Systematic Reviews</w:t>
      </w:r>
      <w:r w:rsidRPr="002C381E">
        <w:t xml:space="preserve">, </w:t>
      </w:r>
      <w:r w:rsidRPr="002C381E">
        <w:rPr>
          <w:i/>
          <w:iCs/>
        </w:rPr>
        <w:t>2020</w:t>
      </w:r>
      <w:r w:rsidRPr="002C381E">
        <w:t>(3). https://doi.org/10.1002/14651858.CD012740.pub2</w:t>
      </w:r>
    </w:p>
    <w:p w14:paraId="24217958" w14:textId="77777777" w:rsidR="002C381E" w:rsidRPr="002C381E" w:rsidRDefault="002C381E" w:rsidP="002C381E">
      <w:pPr>
        <w:pStyle w:val="Bibliography"/>
      </w:pPr>
      <w:r w:rsidRPr="002C381E">
        <w:t xml:space="preserve">Park, J., Rittiphairoj, T., Wang, X., E, J.-Y., &amp; Bicket, A. K. (2023). Device-modified trabeculectomy for glaucoma. </w:t>
      </w:r>
      <w:r w:rsidRPr="002C381E">
        <w:rPr>
          <w:i/>
          <w:iCs/>
        </w:rPr>
        <w:t>Cochrane Database of Systematic Reviews</w:t>
      </w:r>
      <w:r w:rsidRPr="002C381E">
        <w:t xml:space="preserve">, </w:t>
      </w:r>
      <w:r w:rsidRPr="002C381E">
        <w:rPr>
          <w:i/>
          <w:iCs/>
        </w:rPr>
        <w:t>2023</w:t>
      </w:r>
      <w:r w:rsidRPr="002C381E">
        <w:t>(3). https://doi.org/10.1002/14651858.CD010472.pub3</w:t>
      </w:r>
    </w:p>
    <w:p w14:paraId="3338EF60" w14:textId="77777777" w:rsidR="002C381E" w:rsidRPr="002C381E" w:rsidRDefault="002C381E" w:rsidP="002C381E">
      <w:pPr>
        <w:pStyle w:val="Bibliography"/>
      </w:pPr>
      <w:r w:rsidRPr="002C381E">
        <w:t xml:space="preserve">Pillunat, L. E., Erb, C., Jünemann, A. G., &amp; Kimmich, F. (2017). Micro-invasive glaucoma surgery (MIGS): A review of surgical procedures using stents. </w:t>
      </w:r>
      <w:r w:rsidRPr="002C381E">
        <w:rPr>
          <w:i/>
          <w:iCs/>
        </w:rPr>
        <w:t>Clinical Ophthalmology</w:t>
      </w:r>
      <w:r w:rsidRPr="002C381E">
        <w:t xml:space="preserve">, </w:t>
      </w:r>
      <w:r w:rsidRPr="002C381E">
        <w:rPr>
          <w:i/>
          <w:iCs/>
        </w:rPr>
        <w:t>Volume 11</w:t>
      </w:r>
      <w:r w:rsidRPr="002C381E">
        <w:t>, 1583–1600. https://doi.org/10.2147/opth.s135316</w:t>
      </w:r>
    </w:p>
    <w:p w14:paraId="2A43F784" w14:textId="77777777" w:rsidR="002C381E" w:rsidRPr="002C381E" w:rsidRDefault="002C381E" w:rsidP="002C381E">
      <w:pPr>
        <w:pStyle w:val="Bibliography"/>
      </w:pPr>
      <w:r w:rsidRPr="002C381E">
        <w:lastRenderedPageBreak/>
        <w:t xml:space="preserve">Popovic, M., Campos-Möller, X., Saheb, H., &amp; Ahmed, I. I. K. (2018). Efficacy and Adverse Event Profile of the iStent and iStent Inject Tra becular Micro-bypass for Open-angle Glaucoma: A Meta-analysis. </w:t>
      </w:r>
      <w:r w:rsidRPr="002C381E">
        <w:rPr>
          <w:i/>
          <w:iCs/>
        </w:rPr>
        <w:t>Journal of Current Glaucoma Practice</w:t>
      </w:r>
      <w:r w:rsidRPr="002C381E">
        <w:t xml:space="preserve">, </w:t>
      </w:r>
      <w:r w:rsidRPr="002C381E">
        <w:rPr>
          <w:i/>
          <w:iCs/>
        </w:rPr>
        <w:t>12</w:t>
      </w:r>
      <w:r w:rsidRPr="002C381E">
        <w:t>(2), 67–84. Crossref. https://doi.org/10.5005/jp-journals-10028-1248</w:t>
      </w:r>
    </w:p>
    <w:p w14:paraId="0C7B3AEE" w14:textId="77777777" w:rsidR="002C381E" w:rsidRPr="002C381E" w:rsidRDefault="002C381E" w:rsidP="002C381E">
      <w:pPr>
        <w:pStyle w:val="Bibliography"/>
      </w:pPr>
      <w:r w:rsidRPr="002C381E">
        <w:t xml:space="preserve">Preda, M. A., Karancsi, O. L., Munteanu, M., &amp; Stanca, H. T. (2020). Clinical outcomes of micropulse transscleral cyclophotocoagulation in refractory glaucoma-18 months follow-up. </w:t>
      </w:r>
      <w:r w:rsidRPr="002C381E">
        <w:rPr>
          <w:i/>
          <w:iCs/>
        </w:rPr>
        <w:t>Lasers in Medical Science</w:t>
      </w:r>
      <w:r w:rsidRPr="002C381E">
        <w:t xml:space="preserve">, </w:t>
      </w:r>
      <w:r w:rsidRPr="002C381E">
        <w:rPr>
          <w:i/>
          <w:iCs/>
        </w:rPr>
        <w:t>35</w:t>
      </w:r>
      <w:r w:rsidRPr="002C381E">
        <w:t>(7), 1487–1491. https://doi.org/10.1007/s10103-019-02934-x</w:t>
      </w:r>
    </w:p>
    <w:p w14:paraId="6E9063DF" w14:textId="77777777" w:rsidR="002C381E" w:rsidRPr="002C381E" w:rsidRDefault="002C381E" w:rsidP="002C381E">
      <w:pPr>
        <w:pStyle w:val="Bibliography"/>
      </w:pPr>
      <w:r w:rsidRPr="002C381E">
        <w:t xml:space="preserve">Purola, P. K. M., Koskinen, S. V. P., &amp; Uusitalo, H. M. T. (2025). First-line glaucoma monotherapy medication patterns in Finland during 1995–2019 based on a population-based study. </w:t>
      </w:r>
      <w:r w:rsidRPr="002C381E">
        <w:rPr>
          <w:i/>
          <w:iCs/>
        </w:rPr>
        <w:t>PLOS ONE</w:t>
      </w:r>
      <w:r w:rsidRPr="002C381E">
        <w:t xml:space="preserve">, </w:t>
      </w:r>
      <w:r w:rsidRPr="002C381E">
        <w:rPr>
          <w:i/>
          <w:iCs/>
        </w:rPr>
        <w:t>20</w:t>
      </w:r>
      <w:r w:rsidRPr="002C381E">
        <w:t>(1), e0316835. https://doi.org/10.1371/journal.pone.0316835</w:t>
      </w:r>
    </w:p>
    <w:p w14:paraId="345450AF" w14:textId="77777777" w:rsidR="002C381E" w:rsidRPr="002C381E" w:rsidRDefault="002C381E" w:rsidP="002C381E">
      <w:pPr>
        <w:pStyle w:val="Bibliography"/>
      </w:pPr>
      <w:r w:rsidRPr="002C381E">
        <w:t xml:space="preserve">Rabiolo, A., Leadbetter, D., &amp; Anand, N. (2021). Hypotony-associated Complications After Deep Sclerectomy: Incidence, Risk Factors, and Long-term Outcomes. </w:t>
      </w:r>
      <w:r w:rsidRPr="002C381E">
        <w:rPr>
          <w:i/>
          <w:iCs/>
        </w:rPr>
        <w:t>Journal of Glaucoma</w:t>
      </w:r>
      <w:r w:rsidRPr="002C381E">
        <w:t xml:space="preserve">, </w:t>
      </w:r>
      <w:r w:rsidRPr="002C381E">
        <w:rPr>
          <w:i/>
          <w:iCs/>
        </w:rPr>
        <w:t>30</w:t>
      </w:r>
      <w:r w:rsidRPr="002C381E">
        <w:t>(7), e314–e326. https://doi.org/10.1097/IJG.0000000000001882</w:t>
      </w:r>
    </w:p>
    <w:p w14:paraId="21A807FE" w14:textId="77777777" w:rsidR="002C381E" w:rsidRPr="002C381E" w:rsidRDefault="002C381E" w:rsidP="002C381E">
      <w:pPr>
        <w:pStyle w:val="Bibliography"/>
      </w:pPr>
      <w:r w:rsidRPr="002C381E">
        <w:t xml:space="preserve">Rabiolo, A., Leadbetter, D., Kirk, J., &amp; Anand, N. (2023). Laser goniopuncture after deep sclerectomy: Incidence, long-term outcomes and risk factors for failure. </w:t>
      </w:r>
      <w:r w:rsidRPr="002C381E">
        <w:rPr>
          <w:i/>
          <w:iCs/>
        </w:rPr>
        <w:t>British Journal of Ophthalmology</w:t>
      </w:r>
      <w:r w:rsidRPr="002C381E">
        <w:t xml:space="preserve">, </w:t>
      </w:r>
      <w:r w:rsidRPr="002C381E">
        <w:rPr>
          <w:i/>
          <w:iCs/>
        </w:rPr>
        <w:t>107</w:t>
      </w:r>
      <w:r w:rsidRPr="002C381E">
        <w:t>(1), 56–61. https://doi.org/10.1136/bjophthalmol-2021-319314</w:t>
      </w:r>
    </w:p>
    <w:p w14:paraId="46475A83" w14:textId="77777777" w:rsidR="002C381E" w:rsidRPr="002C381E" w:rsidRDefault="002C381E" w:rsidP="002C381E">
      <w:pPr>
        <w:pStyle w:val="Bibliography"/>
      </w:pPr>
      <w:r w:rsidRPr="002C381E">
        <w:t xml:space="preserve">Rasmuson, E., Lindén, C., Lundberg, B., &amp; Jóhannesson, G. (2019). Efficacy and safety of transscleral cyclophotocoagulation in Swedish glaucoma patients. </w:t>
      </w:r>
      <w:r w:rsidRPr="002C381E">
        <w:rPr>
          <w:i/>
          <w:iCs/>
        </w:rPr>
        <w:t>Acta Ophthalmologica</w:t>
      </w:r>
      <w:r w:rsidRPr="002C381E">
        <w:t xml:space="preserve">, </w:t>
      </w:r>
      <w:r w:rsidRPr="002C381E">
        <w:rPr>
          <w:i/>
          <w:iCs/>
        </w:rPr>
        <w:t>97</w:t>
      </w:r>
      <w:r w:rsidRPr="002C381E">
        <w:t>(8), 764–770. https://doi.org/10.1111/aos.14125</w:t>
      </w:r>
    </w:p>
    <w:p w14:paraId="3A68391E" w14:textId="77777777" w:rsidR="002C381E" w:rsidRPr="002C381E" w:rsidRDefault="002C381E" w:rsidP="002C381E">
      <w:pPr>
        <w:pStyle w:val="Bibliography"/>
      </w:pPr>
      <w:r w:rsidRPr="002C381E">
        <w:t xml:space="preserve">Rękas, M., Byszewska, A., Petz, K., Wierzbowska, J., &amp; Jünemann, A. (2015). Canaloplasty versus non-penetrating deep sclerectomy – a prospective, randomised study of the safety and efficacy of combined cataract and glaucoma surgery; 12-month follow-up. </w:t>
      </w:r>
      <w:r w:rsidRPr="002C381E">
        <w:rPr>
          <w:i/>
          <w:iCs/>
        </w:rPr>
        <w:t>Graefe’s Archive for Clinical and Experimental Ophthalmology</w:t>
      </w:r>
      <w:r w:rsidRPr="002C381E">
        <w:t xml:space="preserve">, </w:t>
      </w:r>
      <w:r w:rsidRPr="002C381E">
        <w:rPr>
          <w:i/>
          <w:iCs/>
        </w:rPr>
        <w:t>253</w:t>
      </w:r>
      <w:r w:rsidRPr="002C381E">
        <w:t>(4), 591–599. https://doi.org/10.1007/s00417-015-2931-4</w:t>
      </w:r>
    </w:p>
    <w:p w14:paraId="4B641275" w14:textId="77777777" w:rsidR="002C381E" w:rsidRPr="002C381E" w:rsidRDefault="002C381E" w:rsidP="002C381E">
      <w:pPr>
        <w:pStyle w:val="Bibliography"/>
      </w:pPr>
      <w:r w:rsidRPr="002C381E">
        <w:lastRenderedPageBreak/>
        <w:t xml:space="preserve">Richter, G. M., Takusagawa, H. L., Sit, A. J., Rosdahl, J. A., Chopra, V., Ou, Y., Kim, S. J., &amp; WuDunn, D. (2024). Trabecular Procedures Combined with Cataract Surgery for Open-Angle Glaucoma. </w:t>
      </w:r>
      <w:r w:rsidRPr="002C381E">
        <w:rPr>
          <w:i/>
          <w:iCs/>
        </w:rPr>
        <w:t>Ophthalmology</w:t>
      </w:r>
      <w:r w:rsidRPr="002C381E">
        <w:t xml:space="preserve">, </w:t>
      </w:r>
      <w:r w:rsidRPr="002C381E">
        <w:rPr>
          <w:i/>
          <w:iCs/>
        </w:rPr>
        <w:t>131</w:t>
      </w:r>
      <w:r w:rsidRPr="002C381E">
        <w:t>(3), 370–382. https://doi.org/10.1016/j.ophtha.2023.10.009</w:t>
      </w:r>
    </w:p>
    <w:p w14:paraId="5924F52F" w14:textId="77777777" w:rsidR="002C381E" w:rsidRPr="002C381E" w:rsidRDefault="002C381E" w:rsidP="002C381E">
      <w:pPr>
        <w:pStyle w:val="Bibliography"/>
      </w:pPr>
      <w:r w:rsidRPr="002C381E">
        <w:t xml:space="preserve">Rolim-de-Moura, C. R., Paranhos Jr, A., Loutfi, M., Burton, D., Wormald, R., &amp; Evans, J. R. (2022). Laser trabeculoplasty for open-angle glaucoma and ocular hypertension. </w:t>
      </w:r>
      <w:r w:rsidRPr="002C381E">
        <w:rPr>
          <w:i/>
          <w:iCs/>
        </w:rPr>
        <w:t>Cochrane Database of Systematic Reviews</w:t>
      </w:r>
      <w:r w:rsidRPr="002C381E">
        <w:t xml:space="preserve">, </w:t>
      </w:r>
      <w:r w:rsidRPr="002C381E">
        <w:rPr>
          <w:i/>
          <w:iCs/>
        </w:rPr>
        <w:t>2022</w:t>
      </w:r>
      <w:r w:rsidRPr="002C381E">
        <w:t>(8). https://doi.org/10.1002/14651858.CD003919.pub3</w:t>
      </w:r>
    </w:p>
    <w:p w14:paraId="79DEEE60" w14:textId="77777777" w:rsidR="002C381E" w:rsidRPr="002C381E" w:rsidRDefault="002C381E" w:rsidP="002C381E">
      <w:pPr>
        <w:pStyle w:val="Bibliography"/>
      </w:pPr>
      <w:r w:rsidRPr="002C381E">
        <w:t xml:space="preserve">Saeed, E., Gołaszewska, K., Dmuchowska, D. A., Zalewska, R., &amp; Konopińska, J. (2023). The PreserFlo MicroShunt in the Context of Minimally Invasive Glaucoma Surgery: A Narrative Review. </w:t>
      </w:r>
      <w:r w:rsidRPr="002C381E">
        <w:rPr>
          <w:i/>
          <w:iCs/>
        </w:rPr>
        <w:t>International Journal of Environmental Research and Public Health</w:t>
      </w:r>
      <w:r w:rsidRPr="002C381E">
        <w:t xml:space="preserve">, </w:t>
      </w:r>
      <w:r w:rsidRPr="002C381E">
        <w:rPr>
          <w:i/>
          <w:iCs/>
        </w:rPr>
        <w:t>20</w:t>
      </w:r>
      <w:r w:rsidRPr="002C381E">
        <w:t>(4), 2904. Crossref. https://doi.org/10.3390/ijerph20042904</w:t>
      </w:r>
    </w:p>
    <w:p w14:paraId="786BE510" w14:textId="77777777" w:rsidR="002C381E" w:rsidRPr="002C381E" w:rsidRDefault="002C381E" w:rsidP="002C381E">
      <w:pPr>
        <w:pStyle w:val="Bibliography"/>
      </w:pPr>
      <w:r w:rsidRPr="002C381E">
        <w:t xml:space="preserve">Samuelson, T. W., &amp; Liaboe, C. (2021). Management of hypotony-related maculopathy after combined phacoemulsification and trabeculectomy: January consultation #1. </w:t>
      </w:r>
      <w:r w:rsidRPr="002C381E">
        <w:rPr>
          <w:i/>
          <w:iCs/>
        </w:rPr>
        <w:t>Journal of Cataract &amp; Refractive Surgery</w:t>
      </w:r>
      <w:r w:rsidRPr="002C381E">
        <w:t xml:space="preserve">, </w:t>
      </w:r>
      <w:r w:rsidRPr="002C381E">
        <w:rPr>
          <w:i/>
          <w:iCs/>
        </w:rPr>
        <w:t>47</w:t>
      </w:r>
      <w:r w:rsidRPr="002C381E">
        <w:t>(1), 130–130. https://doi.org/10.1097/j.jcrs.0000000000000524</w:t>
      </w:r>
    </w:p>
    <w:p w14:paraId="5E3F9152" w14:textId="77777777" w:rsidR="002C381E" w:rsidRPr="002C381E" w:rsidRDefault="002C381E" w:rsidP="002C381E">
      <w:pPr>
        <w:pStyle w:val="Bibliography"/>
      </w:pPr>
      <w:r w:rsidRPr="002C381E">
        <w:t xml:space="preserve">Samuelson, T. W., Sarkisian, S. R., Lubeck, D. M., Stiles, M. C., Duh, Y.-J., Romo, E. A., Giamporcaro, J. E., Hornbeak, D. M., Katz, L. J., &amp; iStent inject Study Group. (2019). Prospective, Randomized, Controlled Pivotal Trial of an Ab Interno Implanted Trabecular Micro-Bypass in Primary Open-Angle Glaucoma and Cataract: Two-Year Results. </w:t>
      </w:r>
      <w:r w:rsidRPr="002C381E">
        <w:rPr>
          <w:i/>
          <w:iCs/>
        </w:rPr>
        <w:t>Ophthalmology</w:t>
      </w:r>
      <w:r w:rsidRPr="002C381E">
        <w:t xml:space="preserve">, </w:t>
      </w:r>
      <w:r w:rsidRPr="002C381E">
        <w:rPr>
          <w:i/>
          <w:iCs/>
        </w:rPr>
        <w:t>126</w:t>
      </w:r>
      <w:r w:rsidRPr="002C381E">
        <w:t>(6), 811–821. https://doi.org/10.1016/j.ophtha.2019.03.006</w:t>
      </w:r>
    </w:p>
    <w:p w14:paraId="47B6D007" w14:textId="77777777" w:rsidR="002C381E" w:rsidRPr="002C381E" w:rsidRDefault="002C381E" w:rsidP="002C381E">
      <w:pPr>
        <w:pStyle w:val="Bibliography"/>
      </w:pPr>
      <w:r w:rsidRPr="002C381E">
        <w:t>Scheres, L. M. J., Kujovic‐Aleksov, S., Ramdas, W. D., De Crom, R. M. P. C., Roelofs, L. C. G., Berendschot, T. T. J. M., Webers, C. A. B., &amp; Beckers, H. J. M. (2021). XEN</w:t>
      </w:r>
      <w:r w:rsidRPr="002C381E">
        <w:rPr>
          <w:vertAlign w:val="superscript"/>
        </w:rPr>
        <w:t>®</w:t>
      </w:r>
      <w:r w:rsidRPr="002C381E">
        <w:t xml:space="preserve"> Gel Stent compared to PRESERFLO</w:t>
      </w:r>
      <w:r w:rsidRPr="002C381E">
        <w:rPr>
          <w:vertAlign w:val="superscript"/>
        </w:rPr>
        <w:t>TM</w:t>
      </w:r>
      <w:r w:rsidRPr="002C381E">
        <w:t xml:space="preserve"> MicroShunt implantation for primary open‐angle </w:t>
      </w:r>
      <w:r w:rsidRPr="002C381E">
        <w:lastRenderedPageBreak/>
        <w:t xml:space="preserve">glaucoma: Two‐year results. </w:t>
      </w:r>
      <w:r w:rsidRPr="002C381E">
        <w:rPr>
          <w:i/>
          <w:iCs/>
        </w:rPr>
        <w:t>Acta Ophthalmologica</w:t>
      </w:r>
      <w:r w:rsidRPr="002C381E">
        <w:t xml:space="preserve">, </w:t>
      </w:r>
      <w:r w:rsidRPr="002C381E">
        <w:rPr>
          <w:i/>
          <w:iCs/>
        </w:rPr>
        <w:t>99</w:t>
      </w:r>
      <w:r w:rsidRPr="002C381E">
        <w:t>(3). https://doi.org/10.1111/aos.14602</w:t>
      </w:r>
    </w:p>
    <w:p w14:paraId="4B578332" w14:textId="77777777" w:rsidR="002C381E" w:rsidRPr="002C381E" w:rsidRDefault="002C381E" w:rsidP="002C381E">
      <w:pPr>
        <w:pStyle w:val="Bibliography"/>
      </w:pPr>
      <w:r w:rsidRPr="002C381E">
        <w:t xml:space="preserve">Scheres, L. M. J., Kujovic-Aleksov, S., Winkens, B., De Crom, R. M. P. C., Webers, C. A. B., &amp; Beckers, H. J. M. (2025). Five-year follow-up with the PreserFlo MicroShunt for open-angle glaucoma. </w:t>
      </w:r>
      <w:r w:rsidRPr="002C381E">
        <w:rPr>
          <w:i/>
          <w:iCs/>
        </w:rPr>
        <w:t>Eye</w:t>
      </w:r>
      <w:r w:rsidRPr="002C381E">
        <w:t xml:space="preserve">, </w:t>
      </w:r>
      <w:r w:rsidRPr="002C381E">
        <w:rPr>
          <w:i/>
          <w:iCs/>
        </w:rPr>
        <w:t>39</w:t>
      </w:r>
      <w:r w:rsidRPr="002C381E">
        <w:t>(8), 1540–1546. https://doi.org/10.1038/s41433-025-03707-3</w:t>
      </w:r>
    </w:p>
    <w:p w14:paraId="7750E928" w14:textId="77777777" w:rsidR="002C381E" w:rsidRPr="002C381E" w:rsidRDefault="002C381E" w:rsidP="002C381E">
      <w:pPr>
        <w:pStyle w:val="Bibliography"/>
      </w:pPr>
      <w:r w:rsidRPr="002C381E">
        <w:t xml:space="preserve">Souissi, S., Le Mer, Y., Metge, F., Portmann, A., Baudouin, C., Labbé, A., &amp; Hamard, P. (2021). An update on continuous‐wave cyclophotocoagulation (CW‐CPC) and micropulse transscleral laser treatment (MP‐TLT) for adult and paediatric refractory glaucoma. </w:t>
      </w:r>
      <w:r w:rsidRPr="002C381E">
        <w:rPr>
          <w:i/>
          <w:iCs/>
        </w:rPr>
        <w:t>Acta Ophthalmologica</w:t>
      </w:r>
      <w:r w:rsidRPr="002C381E">
        <w:t xml:space="preserve">, </w:t>
      </w:r>
      <w:r w:rsidRPr="002C381E">
        <w:rPr>
          <w:i/>
          <w:iCs/>
        </w:rPr>
        <w:t>99</w:t>
      </w:r>
      <w:r w:rsidRPr="002C381E">
        <w:t>(5). https://doi.org/10.1111/aos.14661</w:t>
      </w:r>
    </w:p>
    <w:p w14:paraId="760D951F" w14:textId="77777777" w:rsidR="002C381E" w:rsidRPr="002C381E" w:rsidRDefault="002C381E" w:rsidP="002C381E">
      <w:pPr>
        <w:pStyle w:val="Bibliography"/>
      </w:pPr>
      <w:r w:rsidRPr="002C381E">
        <w:t xml:space="preserve">Stein, J. D., &amp; Challa, P. (2007). Mechanisms of action and efficacy of argon laser trabeculoplasty and selective laser trabeculoplasty. </w:t>
      </w:r>
      <w:r w:rsidRPr="002C381E">
        <w:rPr>
          <w:i/>
          <w:iCs/>
        </w:rPr>
        <w:t>Current Opinion in Ophthalmology</w:t>
      </w:r>
      <w:r w:rsidRPr="002C381E">
        <w:t xml:space="preserve">, </w:t>
      </w:r>
      <w:r w:rsidRPr="002C381E">
        <w:rPr>
          <w:i/>
          <w:iCs/>
        </w:rPr>
        <w:t>18</w:t>
      </w:r>
      <w:r w:rsidRPr="002C381E">
        <w:t>(2), 140–145. https://doi.org/10.1097/icu.0b013e328086aebf</w:t>
      </w:r>
    </w:p>
    <w:p w14:paraId="021EAE31" w14:textId="77777777" w:rsidR="002C381E" w:rsidRPr="002C381E" w:rsidRDefault="002C381E" w:rsidP="002C381E">
      <w:pPr>
        <w:pStyle w:val="Bibliography"/>
      </w:pPr>
      <w:r w:rsidRPr="002C381E">
        <w:t xml:space="preserve">Tanner, A., Haddad, F., Fajardo-Sanchez, J., Nguyen, E., Thong, K. X., Ah-Moye, S., Perl, N., Abu-Bakra, M., Kulkarni, A., Trikha, S., Lascaratos, G., Parnell, M., Kailani, O., King, A. J., Agrawal, P., Stead, R., Giannouladis, K., Rodrigues, I., Goyal, S., … Yu-Wai-Man, C. (2023). One-year surgical outcomes of the PreserFlo MicroShunt in glaucoma: A multicentre analysis. </w:t>
      </w:r>
      <w:r w:rsidRPr="002C381E">
        <w:rPr>
          <w:i/>
          <w:iCs/>
        </w:rPr>
        <w:t>British Journal of Ophthalmology</w:t>
      </w:r>
      <w:r w:rsidRPr="002C381E">
        <w:t xml:space="preserve">, </w:t>
      </w:r>
      <w:r w:rsidRPr="002C381E">
        <w:rPr>
          <w:i/>
          <w:iCs/>
        </w:rPr>
        <w:t>107</w:t>
      </w:r>
      <w:r w:rsidRPr="002C381E">
        <w:t>(8), 1104–1111. https://doi.org/10.1136/bjophthalmol-2021-320631</w:t>
      </w:r>
    </w:p>
    <w:p w14:paraId="6E0D3EE0" w14:textId="77777777" w:rsidR="002C381E" w:rsidRPr="002C381E" w:rsidRDefault="002C381E" w:rsidP="002C381E">
      <w:pPr>
        <w:pStyle w:val="Bibliography"/>
      </w:pPr>
      <w:r w:rsidRPr="002C381E">
        <w:t xml:space="preserve">Tham, Y.-C., Li, X., Wong, T. Y., Quigley, H. A., Aung, T., &amp; Cheng, C.-Y. (2014). Global Prevalence of Glaucoma and Projections of Glaucoma Burden through 2040. </w:t>
      </w:r>
      <w:r w:rsidRPr="002C381E">
        <w:rPr>
          <w:i/>
          <w:iCs/>
        </w:rPr>
        <w:t>Ophthalmology</w:t>
      </w:r>
      <w:r w:rsidRPr="002C381E">
        <w:t xml:space="preserve">, </w:t>
      </w:r>
      <w:r w:rsidRPr="002C381E">
        <w:rPr>
          <w:i/>
          <w:iCs/>
        </w:rPr>
        <w:t>121</w:t>
      </w:r>
      <w:r w:rsidRPr="002C381E">
        <w:t>(11), 2081–2090. https://doi.org/10.1016/j.ophtha.2014.05.013</w:t>
      </w:r>
    </w:p>
    <w:p w14:paraId="0D32169C" w14:textId="77777777" w:rsidR="002C381E" w:rsidRPr="002C381E" w:rsidRDefault="002C381E" w:rsidP="002C381E">
      <w:pPr>
        <w:pStyle w:val="Bibliography"/>
      </w:pPr>
      <w:r w:rsidRPr="002C381E">
        <w:t xml:space="preserve">Torbey, J., Paillard, A., Rao, H. L., Gillman, K., Bravetti, G. E., Mermoud, A., &amp; Mansouri, K. (2023). XEN 45 Gel Stent Implantation in Open Angle Glaucoma: 5-Year Results of a Prospective Study. </w:t>
      </w:r>
      <w:r w:rsidRPr="002C381E">
        <w:rPr>
          <w:i/>
          <w:iCs/>
        </w:rPr>
        <w:t>Journal of Glaucoma</w:t>
      </w:r>
      <w:r w:rsidRPr="002C381E">
        <w:t xml:space="preserve">, </w:t>
      </w:r>
      <w:r w:rsidRPr="002C381E">
        <w:rPr>
          <w:i/>
          <w:iCs/>
        </w:rPr>
        <w:t>32</w:t>
      </w:r>
      <w:r w:rsidRPr="002C381E">
        <w:t>(11), 909–917. https://doi.org/10.1097/IJG.0000000000002302</w:t>
      </w:r>
    </w:p>
    <w:p w14:paraId="559A1332" w14:textId="77777777" w:rsidR="002C381E" w:rsidRPr="002C381E" w:rsidRDefault="002C381E" w:rsidP="002C381E">
      <w:pPr>
        <w:pStyle w:val="Bibliography"/>
      </w:pPr>
      <w:r w:rsidRPr="002C381E">
        <w:lastRenderedPageBreak/>
        <w:t xml:space="preserve">Tseng, V. L., Coleman, A. L., Chang, M. Y., &amp; Caprioli, J. (2017). Aqueous shunts for glaucoma. </w:t>
      </w:r>
      <w:r w:rsidRPr="002C381E">
        <w:rPr>
          <w:i/>
          <w:iCs/>
        </w:rPr>
        <w:t>Cochrane Database of Systematic Reviews</w:t>
      </w:r>
      <w:r w:rsidRPr="002C381E">
        <w:t xml:space="preserve">, </w:t>
      </w:r>
      <w:r w:rsidRPr="002C381E">
        <w:rPr>
          <w:i/>
          <w:iCs/>
        </w:rPr>
        <w:t>2017</w:t>
      </w:r>
      <w:r w:rsidRPr="002C381E">
        <w:t>(7). https://doi.org/10.1002/14651858.CD004918.pub3</w:t>
      </w:r>
    </w:p>
    <w:p w14:paraId="12DF4BAB" w14:textId="77777777" w:rsidR="002C381E" w:rsidRPr="002C381E" w:rsidRDefault="002C381E" w:rsidP="002C381E">
      <w:pPr>
        <w:pStyle w:val="Bibliography"/>
      </w:pPr>
      <w:r w:rsidRPr="002C381E">
        <w:t xml:space="preserve">Wang, W., He, M., Zhou, M., &amp; Zhang, X. (2013). Selective Laser Trabeculoplasty versus Argon Laser Trabeculoplasty in Patients with Open-Angle Glaucoma: A Systematic Review and Meta-Analysis. </w:t>
      </w:r>
      <w:r w:rsidRPr="002C381E">
        <w:rPr>
          <w:i/>
          <w:iCs/>
        </w:rPr>
        <w:t>PLoS ONE</w:t>
      </w:r>
      <w:r w:rsidRPr="002C381E">
        <w:t xml:space="preserve">, </w:t>
      </w:r>
      <w:r w:rsidRPr="002C381E">
        <w:rPr>
          <w:i/>
          <w:iCs/>
        </w:rPr>
        <w:t>8</w:t>
      </w:r>
      <w:r w:rsidRPr="002C381E">
        <w:t>(12), e84270. https://doi.org/10.1371/journal.pone.0084270</w:t>
      </w:r>
    </w:p>
    <w:p w14:paraId="1B66A52E" w14:textId="77777777" w:rsidR="002C381E" w:rsidRPr="002C381E" w:rsidRDefault="002C381E" w:rsidP="002C381E">
      <w:pPr>
        <w:pStyle w:val="Bibliography"/>
      </w:pPr>
      <w:r w:rsidRPr="002C381E">
        <w:t xml:space="preserve">Weber, C., Ludwig, E., Hundertmark, S., Brinkmann, C. K., Petrak, M., Holz, F. G., &amp; Mercieca, K. (2023). Five-Year Clinical Outcomes of Inferior Quadrant Trabectome Surgery for Open Angle Glaucoma. </w:t>
      </w:r>
      <w:r w:rsidRPr="002C381E">
        <w:rPr>
          <w:i/>
          <w:iCs/>
        </w:rPr>
        <w:t>Journal of Glaucoma</w:t>
      </w:r>
      <w:r w:rsidRPr="002C381E">
        <w:t xml:space="preserve">, </w:t>
      </w:r>
      <w:r w:rsidRPr="002C381E">
        <w:rPr>
          <w:i/>
          <w:iCs/>
        </w:rPr>
        <w:t>32</w:t>
      </w:r>
      <w:r w:rsidRPr="002C381E">
        <w:t>(6), 480–488. https://doi.org/10.1097/IJG.0000000000002164</w:t>
      </w:r>
    </w:p>
    <w:p w14:paraId="4BDBA92E" w14:textId="77777777" w:rsidR="002C381E" w:rsidRPr="002C381E" w:rsidRDefault="002C381E" w:rsidP="002C381E">
      <w:pPr>
        <w:pStyle w:val="Bibliography"/>
      </w:pPr>
      <w:r w:rsidRPr="002C381E">
        <w:t xml:space="preserve">Weinreb, R. N., Aung, T., &amp; Medeiros, F. A. (2014). The Pathophysiology and Treatment of Glaucoma: A Review. </w:t>
      </w:r>
      <w:r w:rsidRPr="002C381E">
        <w:rPr>
          <w:i/>
          <w:iCs/>
        </w:rPr>
        <w:t>JAMA</w:t>
      </w:r>
      <w:r w:rsidRPr="002C381E">
        <w:t xml:space="preserve">, </w:t>
      </w:r>
      <w:r w:rsidRPr="002C381E">
        <w:rPr>
          <w:i/>
          <w:iCs/>
        </w:rPr>
        <w:t>311</w:t>
      </w:r>
      <w:r w:rsidRPr="002C381E">
        <w:t>(18), 1901. https://doi.org/10.1001/jama.2014.3192</w:t>
      </w:r>
    </w:p>
    <w:p w14:paraId="44F630E3" w14:textId="77777777" w:rsidR="002C381E" w:rsidRPr="002C381E" w:rsidRDefault="002C381E" w:rsidP="002C381E">
      <w:pPr>
        <w:pStyle w:val="Bibliography"/>
      </w:pPr>
      <w:r w:rsidRPr="002C381E">
        <w:t xml:space="preserve">Yang, H.-Y., Chi, S.-C., Ko, Y.-C., Chen, M.-J., Kuang, T.-M., Chang, Y.-F., &amp; Liu, C. J.-L. (2024). Bleb-related infection after primary trabeculectomy: Medical chart reviews from 1993 to 2021. </w:t>
      </w:r>
      <w:r w:rsidRPr="002C381E">
        <w:rPr>
          <w:i/>
          <w:iCs/>
        </w:rPr>
        <w:t>British Journal of Ophthalmology</w:t>
      </w:r>
      <w:r w:rsidRPr="002C381E">
        <w:t xml:space="preserve">, </w:t>
      </w:r>
      <w:r w:rsidRPr="002C381E">
        <w:rPr>
          <w:i/>
          <w:iCs/>
        </w:rPr>
        <w:t>108</w:t>
      </w:r>
      <w:r w:rsidRPr="002C381E">
        <w:t>(1), 58–64. https://doi.org/10.1136/bjo-2022-321429</w:t>
      </w:r>
    </w:p>
    <w:p w14:paraId="33BE52E0" w14:textId="77777777" w:rsidR="002C381E" w:rsidRPr="002C381E" w:rsidRDefault="002C381E" w:rsidP="002C381E">
      <w:pPr>
        <w:pStyle w:val="Bibliography"/>
      </w:pPr>
      <w:r w:rsidRPr="002C381E">
        <w:t xml:space="preserve">Yook, E., Vinod, K., &amp; Panarelli, J. F. (2018). Complications of micro-invasive glaucoma surgery. </w:t>
      </w:r>
      <w:r w:rsidRPr="002C381E">
        <w:rPr>
          <w:i/>
          <w:iCs/>
        </w:rPr>
        <w:t>Current Opinion in Ophthalmology</w:t>
      </w:r>
      <w:r w:rsidRPr="002C381E">
        <w:t xml:space="preserve">, </w:t>
      </w:r>
      <w:r w:rsidRPr="002C381E">
        <w:rPr>
          <w:i/>
          <w:iCs/>
        </w:rPr>
        <w:t>29</w:t>
      </w:r>
      <w:r w:rsidRPr="002C381E">
        <w:t>(2), 147–154. https://doi.org/10.1097/ICU.0000000000000457</w:t>
      </w:r>
    </w:p>
    <w:p w14:paraId="277E301F" w14:textId="77777777" w:rsidR="002C381E" w:rsidRPr="002C381E" w:rsidRDefault="002C381E" w:rsidP="002C381E">
      <w:pPr>
        <w:pStyle w:val="Bibliography"/>
      </w:pPr>
      <w:r w:rsidRPr="002C381E">
        <w:t xml:space="preserve">Yuan, P. H. (Shawn), Dorling, M., Shah, M., Panarelli, J. F., &amp; Durr, G. M. (2025). Combined Microinvasive Glaucoma Surgery With Phacoemulsification in Open-Angle Glaucoma: A Systematic Review and Meta-analysis. </w:t>
      </w:r>
      <w:r w:rsidRPr="002C381E">
        <w:rPr>
          <w:i/>
          <w:iCs/>
        </w:rPr>
        <w:t>American Journal of Ophthalmology</w:t>
      </w:r>
      <w:r w:rsidRPr="002C381E">
        <w:t xml:space="preserve">, </w:t>
      </w:r>
      <w:r w:rsidRPr="002C381E">
        <w:rPr>
          <w:i/>
          <w:iCs/>
        </w:rPr>
        <w:t>270</w:t>
      </w:r>
      <w:r w:rsidRPr="002C381E">
        <w:t>, 154–163. https://doi.org/10.1016/j.ajo.2024.07.034</w:t>
      </w:r>
    </w:p>
    <w:p w14:paraId="2F08D973" w14:textId="77777777" w:rsidR="002C381E" w:rsidRPr="002C381E" w:rsidRDefault="002C381E" w:rsidP="002C381E">
      <w:pPr>
        <w:pStyle w:val="Bibliography"/>
      </w:pPr>
      <w:r w:rsidRPr="002C381E">
        <w:t xml:space="preserve">Zaarour, K., Abdelmassih, Y., Arej, N., Cherfan, G., Tomey, K. F., &amp; Khoueir, Z. (2019). Outcomes of Micropulse Transscleral Cyclophotocoagulation in Uncontrolled </w:t>
      </w:r>
      <w:r w:rsidRPr="002C381E">
        <w:lastRenderedPageBreak/>
        <w:t xml:space="preserve">Glaucoma Patients. </w:t>
      </w:r>
      <w:r w:rsidRPr="002C381E">
        <w:rPr>
          <w:i/>
          <w:iCs/>
        </w:rPr>
        <w:t>Journal of Glaucoma</w:t>
      </w:r>
      <w:r w:rsidRPr="002C381E">
        <w:t xml:space="preserve">, </w:t>
      </w:r>
      <w:r w:rsidRPr="002C381E">
        <w:rPr>
          <w:i/>
          <w:iCs/>
        </w:rPr>
        <w:t>28</w:t>
      </w:r>
      <w:r w:rsidRPr="002C381E">
        <w:t>(3), 270–275. https://doi.org/10.1097/IJG.0000000000001174</w:t>
      </w:r>
    </w:p>
    <w:p w14:paraId="018ACF7F" w14:textId="77777777" w:rsidR="002C381E" w:rsidRPr="002C381E" w:rsidRDefault="002C381E" w:rsidP="002C381E">
      <w:pPr>
        <w:pStyle w:val="Bibliography"/>
      </w:pPr>
      <w:r w:rsidRPr="002C381E">
        <w:t xml:space="preserve">Zhang, N., Wang, J., Li, Y., &amp; Jiang, B. (2021). Prevalence of primary open angle glaucoma in </w:t>
      </w:r>
      <w:r w:rsidRPr="00AF25B0">
        <w:t>the last 20 years: A meta-analysis and systematic review. Scientific Reports, 11(1), 13762. https://doi.org/10.1038/s41598-021-92971-w</w:t>
      </w:r>
    </w:p>
    <w:p w14:paraId="44E8947E" w14:textId="4546EFE3" w:rsidR="009D6B39" w:rsidRDefault="006E004F" w:rsidP="002C381E">
      <w:pPr>
        <w:pStyle w:val="Bibliography"/>
        <w:rPr>
          <w:b/>
          <w:szCs w:val="28"/>
        </w:rPr>
      </w:pPr>
      <w:r>
        <w:rPr>
          <w:b/>
          <w:szCs w:val="28"/>
        </w:rPr>
        <w:fldChar w:fldCharType="end"/>
      </w:r>
    </w:p>
    <w:p w14:paraId="0D38CD6B" w14:textId="77777777" w:rsidR="001A6697" w:rsidRDefault="001A6697" w:rsidP="006B0F49">
      <w:pPr>
        <w:rPr>
          <w:b/>
          <w:szCs w:val="28"/>
        </w:rPr>
      </w:pPr>
    </w:p>
    <w:p w14:paraId="45748964" w14:textId="77777777" w:rsidR="001A6697" w:rsidRDefault="001A6697" w:rsidP="009948CA">
      <w:pPr>
        <w:rPr>
          <w:b/>
          <w:szCs w:val="28"/>
        </w:rPr>
      </w:pPr>
    </w:p>
    <w:p w14:paraId="24E054BB" w14:textId="77777777" w:rsidR="001A6697" w:rsidRPr="00EA50B5" w:rsidRDefault="001A6697" w:rsidP="006B0F49">
      <w:pPr>
        <w:rPr>
          <w:b/>
          <w:szCs w:val="28"/>
        </w:rPr>
      </w:pPr>
    </w:p>
    <w:p w14:paraId="4D1F4008" w14:textId="77777777" w:rsidR="001A6697" w:rsidRDefault="001A6697" w:rsidP="001A6697">
      <w:pPr>
        <w:pStyle w:val="Heading1"/>
        <w:sectPr w:rsidR="001A6697" w:rsidSect="00D72D8C">
          <w:footerReference w:type="even" r:id="rId8"/>
          <w:footerReference w:type="default" r:id="rId9"/>
          <w:footerReference w:type="first" r:id="rId10"/>
          <w:pgSz w:w="11909" w:h="16834"/>
          <w:pgMar w:top="1134" w:right="1134" w:bottom="1134" w:left="1701" w:header="1134" w:footer="1134" w:gutter="0"/>
          <w:cols w:space="720"/>
          <w:titlePg/>
          <w:docGrid w:linePitch="326"/>
        </w:sectPr>
      </w:pPr>
      <w:bookmarkStart w:id="51" w:name="_Toc160121468"/>
    </w:p>
    <w:p w14:paraId="37C32AF2" w14:textId="77B3A52A" w:rsidR="00A2432A" w:rsidRDefault="0081666F" w:rsidP="009948CA">
      <w:pPr>
        <w:pStyle w:val="Heading1"/>
        <w:ind w:right="0"/>
      </w:pPr>
      <w:bookmarkStart w:id="52" w:name="_Toc213182589"/>
      <w:r>
        <w:lastRenderedPageBreak/>
        <w:t>APPENDICES</w:t>
      </w:r>
      <w:bookmarkEnd w:id="51"/>
      <w:bookmarkEnd w:id="52"/>
    </w:p>
    <w:p w14:paraId="2D44C100" w14:textId="39CCA1B9" w:rsidR="00303E5C" w:rsidRPr="00303E5C" w:rsidRDefault="00303E5C" w:rsidP="001861FE">
      <w:pPr>
        <w:pStyle w:val="Bibliography"/>
        <w:rPr>
          <w:color w:val="000000"/>
          <w:sz w:val="18"/>
        </w:rPr>
      </w:pPr>
    </w:p>
    <w:p w14:paraId="03CBAE9E" w14:textId="41ACDF9D" w:rsidR="00FF2940" w:rsidRPr="00FF2940" w:rsidRDefault="00C04E2A" w:rsidP="009948CA">
      <w:pPr>
        <w:pStyle w:val="Bibliography"/>
        <w:jc w:val="center"/>
        <w:rPr>
          <w:i/>
          <w:iCs/>
        </w:rPr>
      </w:pPr>
      <w:r>
        <w:rPr>
          <w:i/>
          <w:noProof/>
          <w:color w:val="000000"/>
          <w:sz w:val="18"/>
        </w:rPr>
      </w:r>
      <w:r w:rsidR="00C04E2A">
        <w:rPr>
          <w:i/>
          <w:noProof/>
          <w:color w:val="000000"/>
          <w:sz w:val="18"/>
        </w:rPr>
        <w:pict w14:anchorId="30EA7D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alt="" style="width:511.3pt;height:309.85pt;mso-width-percent:0;mso-height-percent:0;mso-width-percent:0;mso-height-percent:0">
            <v:imagedata r:id="rId11" o:title=""/>
          </v:shape>
        </w:pict>
      </w:r>
    </w:p>
    <w:p w14:paraId="5423EDA2" w14:textId="6A7DF455" w:rsidR="000C6153" w:rsidRDefault="000C6153" w:rsidP="009948CA">
      <w:pPr>
        <w:pStyle w:val="Caption"/>
        <w:ind w:left="0" w:firstLine="425"/>
        <w:jc w:val="center"/>
        <w:rPr>
          <w:b/>
          <w:bCs/>
        </w:rPr>
      </w:pPr>
      <w:bookmarkStart w:id="53" w:name="_Toc212650668"/>
      <w:bookmarkStart w:id="54" w:name="_Ref213182039"/>
      <w:r>
        <w:t xml:space="preserve">Table </w:t>
      </w:r>
      <w:r w:rsidR="00B037C9">
        <w:fldChar w:fldCharType="begin"/>
      </w:r>
      <w:r w:rsidR="00B037C9">
        <w:instrText xml:space="preserve"> SEQ Table \* ARABIC </w:instrText>
      </w:r>
      <w:r w:rsidR="00B037C9">
        <w:fldChar w:fldCharType="separate"/>
      </w:r>
      <w:r w:rsidR="00B037C9">
        <w:rPr>
          <w:noProof/>
        </w:rPr>
        <w:t>1</w:t>
      </w:r>
      <w:r w:rsidR="00B037C9">
        <w:rPr>
          <w:noProof/>
        </w:rPr>
        <w:fldChar w:fldCharType="end"/>
      </w:r>
      <w:bookmarkEnd w:id="54"/>
      <w:r>
        <w:t xml:space="preserve"> - </w:t>
      </w:r>
      <w:r w:rsidRPr="000C6153">
        <w:rPr>
          <w:b/>
          <w:bCs/>
        </w:rPr>
        <w:t xml:space="preserve">Postoperative Complications after </w:t>
      </w:r>
      <w:r w:rsidR="00A46067">
        <w:rPr>
          <w:b/>
          <w:bCs/>
        </w:rPr>
        <w:t>L</w:t>
      </w:r>
      <w:r w:rsidRPr="000C6153">
        <w:rPr>
          <w:b/>
          <w:bCs/>
        </w:rPr>
        <w:t>aser</w:t>
      </w:r>
      <w:r w:rsidR="00A46067">
        <w:rPr>
          <w:b/>
          <w:bCs/>
        </w:rPr>
        <w:t xml:space="preserve"> Trabeculoplasties</w:t>
      </w:r>
      <w:bookmarkEnd w:id="53"/>
    </w:p>
    <w:p w14:paraId="738497AC" w14:textId="0A7943BE" w:rsidR="00764934" w:rsidRPr="00764934" w:rsidRDefault="00764934" w:rsidP="001D4978">
      <w:pPr>
        <w:jc w:val="center"/>
        <w:sectPr w:rsidR="00764934" w:rsidRPr="00764934" w:rsidSect="001A6697">
          <w:pgSz w:w="16834" w:h="11909" w:orient="landscape"/>
          <w:pgMar w:top="1134" w:right="1134" w:bottom="1701" w:left="1134" w:header="1134" w:footer="1134" w:gutter="0"/>
          <w:cols w:space="720"/>
          <w:titlePg/>
          <w:docGrid w:linePitch="326"/>
        </w:sectPr>
      </w:pPr>
    </w:p>
    <w:p w14:paraId="5F3380D0" w14:textId="5C67792A" w:rsidR="00110647" w:rsidRPr="00635C2D" w:rsidRDefault="00110647" w:rsidP="009948CA">
      <w:pPr>
        <w:pStyle w:val="Caption"/>
        <w:ind w:left="0" w:firstLine="425"/>
        <w:jc w:val="center"/>
        <w:rPr>
          <w:rStyle w:val="SubtleEmphasis"/>
          <w:i/>
          <w:iCs/>
          <w:color w:val="000000" w:themeColor="text1"/>
          <w:lang w:val="nb-NO"/>
        </w:rPr>
      </w:pPr>
      <w:r w:rsidRPr="00635C2D">
        <w:rPr>
          <w:rStyle w:val="SubtleEmphasis"/>
          <w:i/>
          <w:iCs/>
          <w:color w:val="000000" w:themeColor="text1"/>
          <w:lang w:val="nb-NO"/>
        </w:rPr>
        <w:t>[1]</w:t>
      </w:r>
      <w:r w:rsidR="00590662" w:rsidRPr="00635C2D">
        <w:rPr>
          <w:rStyle w:val="SubtleEmphasis"/>
          <w:i/>
          <w:iCs/>
          <w:color w:val="000000" w:themeColor="text1"/>
          <w:lang w:val="nb-NO"/>
        </w:rPr>
        <w:t xml:space="preserve"> </w:t>
      </w:r>
      <w:r w:rsidR="00635C2D">
        <w:rPr>
          <w:rStyle w:val="SubtleEmphasis"/>
          <w:i/>
          <w:iCs/>
          <w:color w:val="000000" w:themeColor="text1"/>
          <w:lang w:val="nb-NO"/>
        </w:rPr>
        <w:fldChar w:fldCharType="begin"/>
      </w:r>
      <w:r w:rsidR="00C140F1">
        <w:rPr>
          <w:rStyle w:val="SubtleEmphasis"/>
          <w:i/>
          <w:iCs/>
          <w:color w:val="000000" w:themeColor="text1"/>
          <w:lang w:val="nb-NO"/>
        </w:rPr>
        <w:instrText xml:space="preserve"> ADDIN ZOTERO_ITEM CSL_CITATION {"citationID":"MLPfwvUj","properties":{"formattedCitation":"(Gazzard et al., 2019)","plainCitation":"(Gazzard et al., 2019)","noteIndex":0},"citationItems":[{"id":412,"uris":["http://zotero.org/users/15573016/items/TKBZQZ6I"],"itemData":{"id":412,"type":"article-journal","container-title":"The Lancet","DOI":"10.1016/S0140-6736(18)32213-X","ISSN":"01406736","issue":"10180","journalAbbreviation":"The Lancet","language":"en","page":"1505-1516","source":"DOI.org (Crossref)","title":"Selective laser trabeculoplasty versus eye drops for first-line treatment of ocular hypertension and glaucoma (LiGHT): a multicentre randomised controlled trial","title-short":"Selective laser trabeculoplasty versus eye drops for first-line treatment of ocular hypertension and glaucoma (LiGHT)","URL":"https://linkinghub.elsevier.com/retrieve/pii/S014067361832213X","volume":"393","author":[{"family":"Gazzard","given":"Gus"},{"family":"Konstantakopoulou","given":"Evgenia"},{"family":"Garway-Heath","given":"David"},{"family":"Garg","given":"Anurag"},{"family":"Vickerstaff","given":"Victoria"},{"family":"Hunter","given":"Rachael"},{"family":"Ambler","given":"Gareth"},{"family":"Bunce","given":"Catey"},{"family":"Wormald","given":"Richard"},{"family":"Nathwani","given":"Neil"},{"family":"Barton","given":"Keith"},{"family":"Rubin","given":"Gary"},{"family":"Buszewicz","given":"Marta"},{"family":"Ambler","given":"Gareth"},{"family":"Barton","given":"Keith"},{"family":"Bourne","given":"Rupert"},{"family":"Broadway","given":"David"},{"family":"Bunce","given":"Catey"},{"family":"Buszewicz","given":"Marta"},{"family":"Davis","given":"Amanda"},{"family":"Garg","given":"Anurag"},{"family":"Garway-Heath","given":"David"},{"family":"Gazzard","given":"Gus"},{"family":"Hunter","given":"Rachael"},{"family":"Jayaram","given":"Hari"},{"family":"Jiang","given":"Yuzhen"},{"family":"Konstantakopoulou","given":"Evgenia"},{"family":"Lim","given":"Sheng"},{"family":"Liput","given":"Joanna"},{"family":"Manners","given":"Timothy"},{"family":"Morris","given":"Stephen"},{"family":"Nathwani","given":"Neil"},{"family":"Rubin","given":"Gary"},{"family":"Strouthidis","given":"Nicholas"},{"family":"Vickerstaff","given":"Victoria"},{"family":"Wilson","given":"Sarah"},{"family":"Wormald","given":"Richard"},{"family":"Zhu","given":"Haogang"}],"accessed":{"date-parts":[["2025",2,5]]},"issued":{"date-parts":[["2019",4]]},"citation-key":"gazzard2019"}}],"schema":"https://github.com/citation-style-language/schema/raw/master/csl-citation.json"} </w:instrText>
      </w:r>
      <w:r w:rsidR="00635C2D">
        <w:rPr>
          <w:rStyle w:val="SubtleEmphasis"/>
          <w:i/>
          <w:iCs/>
          <w:color w:val="000000" w:themeColor="text1"/>
          <w:lang w:val="nb-NO"/>
        </w:rPr>
        <w:fldChar w:fldCharType="separate"/>
      </w:r>
      <w:r w:rsidR="00635C2D" w:rsidRPr="00635C2D">
        <w:rPr>
          <w:rStyle w:val="SubtleEmphasis"/>
          <w:i/>
          <w:iCs/>
          <w:noProof/>
          <w:color w:val="000000" w:themeColor="text1"/>
          <w:lang w:val="nb-NO"/>
        </w:rPr>
        <w:t>(Gazzard et al., 2019)</w:t>
      </w:r>
      <w:r w:rsidR="00635C2D">
        <w:rPr>
          <w:rStyle w:val="SubtleEmphasis"/>
          <w:i/>
          <w:iCs/>
          <w:color w:val="000000" w:themeColor="text1"/>
          <w:lang w:val="nb-NO"/>
        </w:rPr>
        <w:fldChar w:fldCharType="end"/>
      </w:r>
    </w:p>
    <w:p w14:paraId="55E1913D" w14:textId="61440766" w:rsidR="00110647" w:rsidRPr="00635C2D" w:rsidRDefault="00110647" w:rsidP="009948CA">
      <w:pPr>
        <w:pStyle w:val="Caption"/>
        <w:ind w:left="0"/>
        <w:jc w:val="center"/>
        <w:rPr>
          <w:rStyle w:val="SubtleEmphasis"/>
          <w:i/>
          <w:iCs/>
          <w:color w:val="000000" w:themeColor="text1"/>
          <w:lang w:val="nb-NO"/>
        </w:rPr>
      </w:pPr>
      <w:r w:rsidRPr="00635C2D">
        <w:rPr>
          <w:rStyle w:val="SubtleEmphasis"/>
          <w:i/>
          <w:iCs/>
          <w:color w:val="000000" w:themeColor="text1"/>
          <w:lang w:val="nb-NO"/>
        </w:rPr>
        <w:t>[2]</w:t>
      </w:r>
      <w:r w:rsidR="00A93C80">
        <w:rPr>
          <w:rStyle w:val="SubtleEmphasis"/>
          <w:i/>
          <w:iCs/>
          <w:color w:val="000000" w:themeColor="text1"/>
          <w:lang w:val="nb-NO"/>
        </w:rPr>
        <w:t xml:space="preserve"> </w:t>
      </w:r>
      <w:r w:rsidR="00635C2D">
        <w:rPr>
          <w:rStyle w:val="SubtleEmphasis"/>
          <w:i/>
          <w:iCs/>
          <w:color w:val="000000" w:themeColor="text1"/>
        </w:rPr>
        <w:fldChar w:fldCharType="begin"/>
      </w:r>
      <w:r w:rsidR="00C140F1">
        <w:rPr>
          <w:rStyle w:val="SubtleEmphasis"/>
          <w:i/>
          <w:iCs/>
          <w:color w:val="000000" w:themeColor="text1"/>
          <w:lang w:val="nb-NO"/>
        </w:rPr>
        <w:instrText xml:space="preserve"> ADDIN ZOTERO_ITEM CSL_CITATION {"citationID":"OwkTrfhf","properties":{"formattedCitation":"(Ojanen et al., 2025)","plainCitation":"(Ojanen et al., 2025)","noteIndex":0},"citationItems":[{"id":1758,"uris":["http://zotero.org/users/15573016/items/X6JPFMFX"],"itemData":{"id":1758,"type":"article-journal","abstract":"Abstract\n            \n              Purpose\n              To evaluate the incidence of serious complications after selective laser trabeculoplasty (SLT).\n            \n            \n              Methods\n              All patients who underwent SLT at the Department of Ophthalmology, Helsinki University Hospital, were eligible for the study from 1 January 2012 to 31 December 2018. Data regarding patients' demographics, procedure details, complications, predisposing factors and clinical outcomes were extracted retrospectively from electronic medical records. The primary outcome measures were serious complications, including corneal oedema, corneal scarring, hyperopic shift, synechia, anterior chamber bleeding and hyphema.\n            \n            \n              Results\n              A total of 6081 SLTs (4601 eyes) of 2812 patients were analysed. Twelve patients had bleeding in the anterior chamber angle (incidence 2/1000 SLT laser treatments), and four of them developed hyphema (incidence 0.7/1000 SLT laser treatments). Corneal oedema or Descemet's membrane folds were reported in six treated eyes, resulting in an incidence of 1/1000. One myopic eye had a permanent corneal scarring, thinning and irregular astigmatism with a hyperopic shift (5.3 D with recovery to 1.25 D in three years), resulting in poor visual acuity (from preoperative 0.9 to 0.4 at the last control). The incidence was less than 0.2/1000 for all SLT treatments (95% CI ≤0.1 to 1.0) and 1/648 for SLT laser treatments in high myopia (spherical equivalent ≤−5.00 D).\n            \n            \n              Conclusions\n              After SLT, the number of complications was low, with only one permanent vision deterioration after 6081 treatments. These findings may help clinicians reassure patients about SLT safety when offering SLT as a first‐line treatment for ocular hypertension or open‐angle glaucoma.","container-title":"Acta Ophthalmologica","DOI":"10.1111/aos.17536","ISSN":"1755-375X, 1755-3768","journalAbbreviation":"Acta Ophthalmologica","language":"en","page":"aos.17536","source":"DOI.org (Crossref)","title":"The incidence of serious complications after selective laser trabeculoplasty","URL":"https://onlinelibrary.wiley.com/doi/10.1111/aos.17536","author":[{"family":"Ojanen","given":"Eeva S."},{"family":"Turunen","given":"Joni A."},{"family":"Harju","given":"Mika"}],"accessed":{"date-parts":[["2025",7,1]]},"issued":{"date-parts":[["2025",6,14]]},"citation-key":"ojanen2025a"}}],"schema":"https://github.com/citation-style-language/schema/raw/master/csl-citation.json"} </w:instrText>
      </w:r>
      <w:r w:rsidR="00635C2D">
        <w:rPr>
          <w:rStyle w:val="SubtleEmphasis"/>
          <w:i/>
          <w:iCs/>
          <w:color w:val="000000" w:themeColor="text1"/>
        </w:rPr>
        <w:fldChar w:fldCharType="separate"/>
      </w:r>
      <w:r w:rsidR="00635C2D" w:rsidRPr="00635C2D">
        <w:rPr>
          <w:rStyle w:val="SubtleEmphasis"/>
          <w:i/>
          <w:iCs/>
          <w:noProof/>
          <w:color w:val="000000" w:themeColor="text1"/>
          <w:lang w:val="nb-NO"/>
        </w:rPr>
        <w:t>(Ojanen et al., 2025)</w:t>
      </w:r>
      <w:r w:rsidR="00635C2D">
        <w:rPr>
          <w:rStyle w:val="SubtleEmphasis"/>
          <w:i/>
          <w:iCs/>
          <w:color w:val="000000" w:themeColor="text1"/>
        </w:rPr>
        <w:fldChar w:fldCharType="end"/>
      </w:r>
    </w:p>
    <w:p w14:paraId="498DBDA8" w14:textId="3B23EECE" w:rsidR="00110647" w:rsidRPr="00635C2D" w:rsidRDefault="00110647" w:rsidP="009948CA">
      <w:pPr>
        <w:pStyle w:val="Caption"/>
        <w:ind w:left="0"/>
        <w:jc w:val="center"/>
        <w:rPr>
          <w:rStyle w:val="SubtleEmphasis"/>
          <w:i/>
          <w:iCs/>
          <w:color w:val="000000" w:themeColor="text1"/>
          <w:lang w:val="nb-NO"/>
        </w:rPr>
      </w:pPr>
      <w:r w:rsidRPr="00635C2D">
        <w:rPr>
          <w:rStyle w:val="SubtleEmphasis"/>
          <w:i/>
          <w:iCs/>
          <w:color w:val="000000" w:themeColor="text1"/>
          <w:lang w:val="nb-NO"/>
        </w:rPr>
        <w:t>[3]</w:t>
      </w:r>
      <w:r w:rsidR="00A93C80">
        <w:rPr>
          <w:rStyle w:val="SubtleEmphasis"/>
          <w:i/>
          <w:iCs/>
          <w:color w:val="000000" w:themeColor="text1"/>
          <w:lang w:val="nb-NO"/>
        </w:rPr>
        <w:t xml:space="preserve"> </w:t>
      </w:r>
      <w:r w:rsidR="00A93C80">
        <w:rPr>
          <w:rStyle w:val="SubtleEmphasis"/>
          <w:i/>
          <w:iCs/>
          <w:color w:val="000000" w:themeColor="text1"/>
        </w:rPr>
        <w:t xml:space="preserve"> </w:t>
      </w:r>
      <w:r w:rsidR="00635C2D">
        <w:rPr>
          <w:rStyle w:val="SubtleEmphasis"/>
          <w:i/>
          <w:iCs/>
          <w:color w:val="000000" w:themeColor="text1"/>
        </w:rPr>
        <w:fldChar w:fldCharType="begin"/>
      </w:r>
      <w:r w:rsidR="00C140F1">
        <w:rPr>
          <w:rStyle w:val="SubtleEmphasis"/>
          <w:i/>
          <w:iCs/>
          <w:color w:val="000000" w:themeColor="text1"/>
          <w:lang w:val="nb-NO"/>
        </w:rPr>
        <w:instrText xml:space="preserve"> ADDIN ZOTERO_ITEM CSL_CITATION {"citationID":"GtVIvGnM","properties":{"formattedCitation":"(Feldman et al., 1991)","plainCitation":"(Feldman et al., 1991)","noteIndex":0},"citationItems":[{"id":1762,"uris":["http://zotero.org/users/15573016/items/72V3ICYW"],"itemData":{"id":1762,"type":"article-journal","container-title":"Ophthalmology","DOI":"10.1016/S0161-6420(91)32176-6","ISSN":"01616420","issue":"7","journalAbbreviation":"Ophthalmology","language":"en","license":"https://www.elsevier.com/tdm/userlicense/1.0/","page":"1061-1065","source":"DOI.org (Crossref)","title":"Long-term Efficacy of Repeat Argon Laser Trabeculoplasty","URL":"https://linkinghub.elsevier.com/retrieve/pii/S0161642091321766","volume":"98","author":[{"family":"Feldman","given":"Robert M."},{"family":"Katz","given":"L. Jay"},{"family":"Spaeth","given":"George L."},{"family":"Crapotta","given":"Joseph A."},{"family":"Fahmy","given":"Iman A."},{"family":"Ali","given":"Moones A."}],"accessed":{"date-parts":[["2025",7,1]]},"issued":{"date-parts":[["1991",7]]},"citation-key":"feldman1991"}}],"schema":"https://github.com/citation-style-language/schema/raw/master/csl-citation.json"} </w:instrText>
      </w:r>
      <w:r w:rsidR="00635C2D">
        <w:rPr>
          <w:rStyle w:val="SubtleEmphasis"/>
          <w:i/>
          <w:iCs/>
          <w:color w:val="000000" w:themeColor="text1"/>
        </w:rPr>
        <w:fldChar w:fldCharType="separate"/>
      </w:r>
      <w:r w:rsidR="00635C2D" w:rsidRPr="00635C2D">
        <w:rPr>
          <w:rStyle w:val="SubtleEmphasis"/>
          <w:i/>
          <w:iCs/>
          <w:noProof/>
          <w:color w:val="000000" w:themeColor="text1"/>
          <w:lang w:val="nb-NO"/>
        </w:rPr>
        <w:t>(Feldman et al., 1991)</w:t>
      </w:r>
      <w:r w:rsidR="00635C2D">
        <w:rPr>
          <w:rStyle w:val="SubtleEmphasis"/>
          <w:i/>
          <w:iCs/>
          <w:color w:val="000000" w:themeColor="text1"/>
        </w:rPr>
        <w:fldChar w:fldCharType="end"/>
      </w:r>
    </w:p>
    <w:p w14:paraId="40BB842A" w14:textId="7AD0A8DC" w:rsidR="000C6153" w:rsidRPr="00635C2D" w:rsidRDefault="00110647" w:rsidP="009948CA">
      <w:pPr>
        <w:pStyle w:val="Caption"/>
        <w:ind w:left="0"/>
        <w:jc w:val="center"/>
        <w:rPr>
          <w:lang w:val="nb-NO"/>
        </w:rPr>
        <w:sectPr w:rsidR="000C6153" w:rsidRPr="00635C2D" w:rsidSect="001D4978">
          <w:type w:val="continuous"/>
          <w:pgSz w:w="16834" w:h="11909" w:orient="landscape"/>
          <w:pgMar w:top="1134" w:right="1134" w:bottom="1701" w:left="1134" w:header="1134" w:footer="1134" w:gutter="0"/>
          <w:cols w:num="2" w:space="720"/>
          <w:titlePg/>
          <w:docGrid w:linePitch="326"/>
        </w:sectPr>
      </w:pPr>
      <w:r w:rsidRPr="00635C2D">
        <w:rPr>
          <w:rStyle w:val="SubtleEmphasis"/>
          <w:i/>
          <w:iCs/>
          <w:color w:val="000000" w:themeColor="text1"/>
          <w:lang w:val="nb-NO"/>
        </w:rPr>
        <w:t>[4]</w:t>
      </w:r>
      <w:r w:rsidR="00E33723" w:rsidRPr="00635C2D">
        <w:rPr>
          <w:rStyle w:val="SubtleEmphasis"/>
          <w:i/>
          <w:iCs/>
          <w:color w:val="000000" w:themeColor="text1"/>
          <w:lang w:val="nb-NO"/>
        </w:rPr>
        <w:t xml:space="preserve"> </w:t>
      </w:r>
      <w:r w:rsidR="00635C2D">
        <w:rPr>
          <w:rStyle w:val="SubtleEmphasis"/>
          <w:i/>
          <w:iCs/>
          <w:color w:val="000000" w:themeColor="text1"/>
        </w:rPr>
        <w:fldChar w:fldCharType="begin"/>
      </w:r>
      <w:r w:rsidR="00C140F1">
        <w:rPr>
          <w:rStyle w:val="SubtleEmphasis"/>
          <w:i/>
          <w:iCs/>
          <w:color w:val="000000" w:themeColor="text1"/>
          <w:lang w:val="nb-NO"/>
        </w:rPr>
        <w:instrText xml:space="preserve"> ADDIN ZOTERO_ITEM CSL_CITATION {"citationID":"G7snmuQX","properties":{"formattedCitation":"(Rolim-de-Moura et al., 2022)","plainCitation":"(Rolim-de-Moura et al., 2022)","noteIndex":0},"citationItems":[{"id":1766,"uris":["http://zotero.org/users/15573016/items/MX5QKHQP"],"itemData":{"id":1766,"type":"article-journal","container-title":"Cochrane Database of Systematic Reviews","DOI":"10.1002/14651858.CD003919.pub3","ISSN":"14651858","issue":"8","language":"en","source":"DOI.org (Crossref)","title":"Laser trabeculoplasty for open-angle glaucoma and ocular hypertension","URL":"http://doi.wiley.com/10.1002/14651858.CD003919.pub3","volume":"2022","editor":[{"literal":"Cochrane Eyes and Vision Group"}],"author":[{"family":"Rolim-de-Moura","given":"Christiane R"},{"family":"Paranhos Jr","given":"Augusto"},{"family":"Loutfi","given":"Mohamed"},{"family":"Burton","given":"David"},{"family":"Wormald","given":"Richard"},{"family":"Evans","given":"Jennifer R"}],"accessed":{"date-parts":[["2025",7,1]]},"issued":{"date-parts":[["2022",8,9]]},"citation-key":"rolim-de-moura2022a"}}],"schema":"https://github.com/citation-style-language/schema/raw/master/csl-citation.json"} </w:instrText>
      </w:r>
      <w:r w:rsidR="00635C2D">
        <w:rPr>
          <w:rStyle w:val="SubtleEmphasis"/>
          <w:i/>
          <w:iCs/>
          <w:color w:val="000000" w:themeColor="text1"/>
        </w:rPr>
        <w:fldChar w:fldCharType="separate"/>
      </w:r>
      <w:r w:rsidR="00635C2D" w:rsidRPr="00635C2D">
        <w:rPr>
          <w:rStyle w:val="SubtleEmphasis"/>
          <w:i/>
          <w:iCs/>
          <w:noProof/>
          <w:color w:val="000000" w:themeColor="text1"/>
          <w:lang w:val="nb-NO"/>
        </w:rPr>
        <w:t>(Rolim-de-Moura et al., 2022)</w:t>
      </w:r>
      <w:r w:rsidR="00635C2D">
        <w:rPr>
          <w:rStyle w:val="SubtleEmphasis"/>
          <w:i/>
          <w:iCs/>
          <w:color w:val="000000" w:themeColor="text1"/>
        </w:rPr>
        <w:fldChar w:fldCharType="end"/>
      </w:r>
    </w:p>
    <w:p w14:paraId="589989BC" w14:textId="77777777" w:rsidR="000C6153" w:rsidRPr="00635C2D" w:rsidRDefault="000C6153" w:rsidP="00110647">
      <w:pPr>
        <w:rPr>
          <w:lang w:val="nb-NO"/>
        </w:rPr>
        <w:sectPr w:rsidR="000C6153" w:rsidRPr="00635C2D" w:rsidSect="000C6153">
          <w:type w:val="continuous"/>
          <w:pgSz w:w="16834" w:h="11909" w:orient="landscape"/>
          <w:pgMar w:top="1134" w:right="1134" w:bottom="1701" w:left="1134" w:header="1134" w:footer="1134" w:gutter="0"/>
          <w:cols w:space="720"/>
          <w:titlePg/>
          <w:docGrid w:linePitch="326"/>
        </w:sectPr>
      </w:pPr>
    </w:p>
    <w:p w14:paraId="75884518" w14:textId="1C2A4165" w:rsidR="00D36D83" w:rsidRPr="00635C2D" w:rsidRDefault="00C04E2A" w:rsidP="001D4978">
      <w:pPr>
        <w:jc w:val="center"/>
        <w:rPr>
          <w:lang w:val="nb-NO"/>
        </w:rPr>
      </w:pPr>
      <w:r>
        <w:rPr>
          <w:noProof/>
          <w:lang w:val="nb-NO"/>
        </w:rPr>
      </w:r>
      <w:r w:rsidR="00C04E2A">
        <w:rPr>
          <w:noProof/>
          <w:lang w:val="nb-NO"/>
        </w:rPr>
        <w:object w:dxaOrig="18500" w:dyaOrig="11900" w14:anchorId="6253F60B">
          <v:shape id="_x0000_i1108" type="#_x0000_t75" alt="" style="width:520.2pt;height:334.9pt;mso-width-percent:0;mso-height-percent:0;mso-width-percent:0;mso-height-percent:0" o:ole="">
            <v:imagedata r:id="rId12" o:title=""/>
          </v:shape>
          <o:OLEObject Type="Embed" ProgID="Excel.Sheet.12" ShapeID="_x0000_i1108" DrawAspect="Content" ObjectID="_1823795814" r:id="rId13"/>
        </w:object>
      </w:r>
    </w:p>
    <w:p w14:paraId="6C118E61" w14:textId="4DC2B058" w:rsidR="00A46067" w:rsidRDefault="00A46067" w:rsidP="009948CA">
      <w:pPr>
        <w:pStyle w:val="Caption"/>
        <w:ind w:left="0"/>
        <w:jc w:val="center"/>
        <w:rPr>
          <w:b/>
          <w:bCs/>
        </w:rPr>
      </w:pPr>
      <w:bookmarkStart w:id="55" w:name="_Toc212650669"/>
      <w:bookmarkStart w:id="56" w:name="_Ref213182137"/>
      <w:r>
        <w:t xml:space="preserve">Table </w:t>
      </w:r>
      <w:r w:rsidR="00B037C9">
        <w:fldChar w:fldCharType="begin"/>
      </w:r>
      <w:r w:rsidR="00B037C9">
        <w:instrText xml:space="preserve"> SEQ Table \* ARABIC </w:instrText>
      </w:r>
      <w:r w:rsidR="00B037C9">
        <w:fldChar w:fldCharType="separate"/>
      </w:r>
      <w:r w:rsidR="00B037C9">
        <w:rPr>
          <w:noProof/>
        </w:rPr>
        <w:t>2</w:t>
      </w:r>
      <w:r w:rsidR="00B037C9">
        <w:rPr>
          <w:noProof/>
        </w:rPr>
        <w:fldChar w:fldCharType="end"/>
      </w:r>
      <w:bookmarkEnd w:id="56"/>
      <w:r>
        <w:t xml:space="preserve"> - </w:t>
      </w:r>
      <w:r w:rsidRPr="00A46067">
        <w:rPr>
          <w:b/>
          <w:bCs/>
        </w:rPr>
        <w:t xml:space="preserve">Postoperative Complications after </w:t>
      </w:r>
      <w:r>
        <w:rPr>
          <w:b/>
          <w:bCs/>
        </w:rPr>
        <w:t>P</w:t>
      </w:r>
      <w:r w:rsidRPr="00A46067">
        <w:rPr>
          <w:b/>
          <w:bCs/>
        </w:rPr>
        <w:t xml:space="preserve">enetrating </w:t>
      </w:r>
      <w:r>
        <w:rPr>
          <w:b/>
          <w:bCs/>
        </w:rPr>
        <w:t>S</w:t>
      </w:r>
      <w:r w:rsidRPr="00A46067">
        <w:rPr>
          <w:b/>
          <w:bCs/>
        </w:rPr>
        <w:t>urgeries</w:t>
      </w:r>
      <w:bookmarkEnd w:id="55"/>
    </w:p>
    <w:p w14:paraId="7E36E3B2" w14:textId="77777777" w:rsidR="004146FC" w:rsidRDefault="004146FC" w:rsidP="009948CA">
      <w:pPr>
        <w:pStyle w:val="Caption"/>
        <w:ind w:left="0"/>
        <w:jc w:val="center"/>
        <w:sectPr w:rsidR="004146FC" w:rsidSect="000C6153">
          <w:type w:val="continuous"/>
          <w:pgSz w:w="16834" w:h="11909" w:orient="landscape"/>
          <w:pgMar w:top="1134" w:right="1134" w:bottom="1701" w:left="1134" w:header="1134" w:footer="1134" w:gutter="0"/>
          <w:cols w:space="720"/>
          <w:titlePg/>
          <w:docGrid w:linePitch="326"/>
        </w:sectPr>
      </w:pPr>
    </w:p>
    <w:p w14:paraId="11A9F88E" w14:textId="50677AAC" w:rsidR="00CD7EBB" w:rsidRPr="006C2B17" w:rsidRDefault="00CD7EBB" w:rsidP="009948CA">
      <w:pPr>
        <w:pStyle w:val="Caption"/>
        <w:ind w:left="0"/>
        <w:jc w:val="center"/>
        <w:rPr>
          <w:lang w:val="nb-NO"/>
        </w:rPr>
      </w:pPr>
      <w:r>
        <w:t xml:space="preserve">[1] </w:t>
      </w:r>
      <w:r w:rsidR="00AC4114">
        <w:fldChar w:fldCharType="begin"/>
      </w:r>
      <w:r w:rsidR="00C140F1">
        <w:instrText xml:space="preserve"> ADDIN ZOTERO_ITEM CSL_CITATION {"citationID":"pv7lggNZ","properties":{"formattedCitation":"(Gedde et al., 2022)","plainCitation":"(Gedde et al., 2022)","dontUpdate":true,"noteIndex":0},"citationItems":[{"id":676,"uris":["http://zotero.org/users/15573016/items/ISX77UMR"],"itemData":{"id":676,"type":"article-journal","abstract":"PURPOSE: To describe postoperative complications encountered in the Primary Tube Versus Trabeculectomy (PTVT) Study during 5 years of follow-up.\nDESIGN: Multicenter randomized clinical trial.\nPARTICIPANTS: A total of 242 eyes of 242 patients with medically uncontrolled glaucoma and no previous incisional ocular surgery, including 125 patients in the tube group and 117 patients in the trabeculectomy group.\nMETHODS: Patients were enrolled at 16 clinical centers and randomly assigned to treatment with a tube shunt (350-mm2 Baerveldt glaucoma implant) or trabeculectomy with mitomycin C (MMC, 0.4 mg/ml for 2 minutes).\nMAIN OUTCOME MEASURES: Surgical complications, reoperations for complications, visual acuity, and cataract progression.\nRESULTS: Early postoperative complications occurred in 24 patients (19%) in the tube group and 40 patients (34%) in the trabeculectomy group (P = 0.013). Late postoperative complications developed in 27 patients (22%) in the tube group and 32 patients (27%) in the trabeculectomy group (P = 0.37). Serious complications producing vision loss and/or requiring a reoperation were observed in 3 patients (2%) in the tube group and 9 patients (8%) in the trabeculectomy group (P = 0.11). Cataract progression was seen in 65 patients (52%) in the tube group and 52 patients (44%) in the trabeculectomy group (P = 0.30). Surgical complications were not associated with a higher rate of treatment failure (P = 0.61), vision loss (P = 1.00), or cataract progression (P = 0.77) CONCLUSIONS: A large number of surgical complications were observed in the PTVT Study, but most were transient and self-limited. The incidence of early postoperative complications was higher following trabeculectomy with MMC than with tube shunt surgery. The rates of late postoperative complications, serious complications, and cataract progression were similar with both surgical procedures after 5 years of follow-up. Surgical complications did not increase the risk of treatment failure, vision loss, or cataract progression.","container-title":"Ophthalmology","DOI":"10.1016/j.ophtha.2022.07.004","ISSN":"1549-4713","issue":"12","journalAbbreviation":"Ophthalmology","language":"eng","note":"PMID: 35835336\nPMCID: PMC9691562","page":"1357-1367","source":"PubMed","title":"Postoperative Complications in the Primary Tube Versus Trabeculectomy Study During 5 Years of Follow-up","volume":"129","author":[{"family":"Gedde","given":"Steven J."},{"family":"Feuer","given":"William J."},{"family":"Lim","given":"Kin Sheng"},{"family":"Barton","given":"Keith"},{"family":"Goyal","given":"Saurabh"},{"family":"Ahmed","given":"Iqbal I."},{"family":"Brandt","given":"James D."},{"literal":"Primary Tube Versus Trabeculectomy Study Group"}],"issued":{"date-parts":[["2022",12]]},"citation-key":"gedde2022"}}],"schema":"https://github.com/citation-style-language/schema/raw/master/csl-citation.json"} </w:instrText>
      </w:r>
      <w:r w:rsidR="00AC4114">
        <w:fldChar w:fldCharType="separate"/>
      </w:r>
      <w:r w:rsidR="00AC4114">
        <w:fldChar w:fldCharType="end"/>
      </w:r>
      <w:r w:rsidR="00D25A6C">
        <w:t xml:space="preserve"> </w:t>
      </w:r>
      <w:r w:rsidR="009176CB">
        <w:fldChar w:fldCharType="begin"/>
      </w:r>
      <w:r w:rsidR="00022293">
        <w:instrText xml:space="preserve"> ADDIN ZOTERO_ITEM CSL_CITATION {"citationID":"nbJTlh7y","properties":{"formattedCitation":"(Gedde, Feuer, Lim, Barton, Goyal, Ahmed, Brandt, &amp; Primary Tube Versus Trabeculectomy Study Group, 2022)","plainCitation":"(Gedde, Feuer, Lim, Barton, Goyal, Ahmed, Brandt, &amp; Primary Tube Versus Trabeculectomy Study Group, 2022)","noteIndex":0},"citationItems":[{"id":676,"uris":["http://zotero.org/users/15573016/items/ISX77UMR"],"itemData":{"id":676,"type":"article-journal","abstract":"PURPOSE: To describe postoperative complications encountered in the Primary Tube Versus Trabeculectomy (PTVT) Study during 5 years of follow-up.\nDESIGN: Multicenter randomized clinical trial.\nPARTICIPANTS: A total of 242 eyes of 242 patients with medically uncontrolled glaucoma and no previous incisional ocular surgery, including 125 patients in the tube group and 117 patients in the trabeculectomy group.\nMETHODS: Patients were enrolled at 16 clinical centers and randomly assigned to treatment with a tube shunt (350-mm2 Baerveldt glaucoma implant) or trabeculectomy with mitomycin C (MMC, 0.4 mg/ml for 2 minutes).\nMAIN OUTCOME MEASURES: Surgical complications, reoperations for complications, visual acuity, and cataract progression.\nRESULTS: Early postoperative complications occurred in 24 patients (19%) in the tube group and 40 patients (34%) in the trabeculectomy group (P = 0.013). Late postoperative complications developed in 27 patients (22%) in the tube group and 32 patients (27%) in the trabeculectomy group (P = 0.37). Serious complications producing vision loss and/or requiring a reoperation were observed in 3 patients (2%) in the tube group and 9 patients (8%) in the trabeculectomy group (P = 0.11). Cataract progression was seen in 65 patients (52%) in the tube group and 52 patients (44%) in the trabeculectomy group (P = 0.30). Surgical complications were not associated with a higher rate of treatment failure (P = 0.61), vision loss (P = 1.00), or cataract progression (P = 0.77) CONCLUSIONS: A large number of surgical complications were observed in the PTVT Study, but most were transient and self-limited. The incidence of early postoperative complications was higher following trabeculectomy with MMC than with tube shunt surgery. The rates of late postoperative complications, serious complications, and cataract progression were similar with both surgical procedures after 5 years of follow-up. Surgical complications did not increase the risk of treatment failure, vision loss, or cataract progression.","container-title":"Ophthalmology","DOI":"10.1016/j.ophtha.2022.07.004","ISSN":"1549-4713","issue":"12","journalAbbreviation":"Ophthalmology","language":"eng","note":"PMID: 35835336\nPMCID: PMC9691562","page":"1357-1367","source":"PubMed","title":"Postoperative Complications in the Primary Tube Versus Trabeculectomy Study During 5 Years of Follow-up","volume":"129","author":[{"family":"Gedde","given":"Steven J."},{"family":"Feuer","given":"William J."},{"family":"Lim","given":"Kin Sheng"},{"family":"Barton","given":"Keith"},{"family":"Goyal","given":"Saurabh"},{"family":"Ahmed","given":"Iqbal I."},{"family":"Brandt","given":"James D."},{"literal":"Primary Tube Versus Trabeculectomy Study Group"}],"issued":{"date-parts":[["2022",12]]},"citation-key":"gedde2022"}}],"schema":"https://github.com/citation-style-language/schema/raw/master/csl-citation.json"} </w:instrText>
      </w:r>
      <w:r w:rsidR="009176CB">
        <w:fldChar w:fldCharType="separate"/>
      </w:r>
      <w:r w:rsidR="00022293">
        <w:rPr>
          <w:noProof/>
          <w:lang w:val="nb-NO"/>
        </w:rPr>
        <w:t>(Gedde, Feuer, Lim, Barton, Goyal, Ahmed, Brandt, &amp; Primary Tube Versus Trabeculectomy Study Group, 2022)</w:t>
      </w:r>
      <w:r w:rsidR="009176CB">
        <w:fldChar w:fldCharType="end"/>
      </w:r>
    </w:p>
    <w:p w14:paraId="0A52377C" w14:textId="44DBC968" w:rsidR="004C7F45" w:rsidRDefault="00CD7EBB" w:rsidP="009948CA">
      <w:pPr>
        <w:pStyle w:val="Caption"/>
        <w:ind w:left="0"/>
        <w:jc w:val="center"/>
      </w:pPr>
      <w:bookmarkStart w:id="57" w:name="_Hlk212649578"/>
      <w:r w:rsidRPr="006C2B17">
        <w:rPr>
          <w:lang w:val="nb-NO"/>
        </w:rPr>
        <w:t>[2]</w:t>
      </w:r>
      <w:bookmarkEnd w:id="57"/>
      <w:r w:rsidR="00AC4114" w:rsidRPr="006C2B17">
        <w:rPr>
          <w:lang w:val="nb-NO"/>
        </w:rPr>
        <w:t xml:space="preserve"> </w:t>
      </w:r>
      <w:r w:rsidR="00AC4114">
        <w:fldChar w:fldCharType="begin"/>
      </w:r>
      <w:r w:rsidR="00C140F1">
        <w:rPr>
          <w:lang w:val="nb-NO"/>
        </w:rPr>
        <w:instrText xml:space="preserve"> ADDIN ZOTERO_ITEM CSL_CITATION {"citationID":"w3X5vwbP","properties":{"formattedCitation":"(Budenz et al., 2016)","plainCitation":"(Budenz et al., 2016)","dontUpdate":true,"noteIndex":0},"citationItems":[{"id":1474,"uris":["http://zotero.org/users/15573016/items/46FX36SP"],"itemData":{"id":1474,"type":"article-journal","abstract":"PURPOSE: To compare the late complications in the Ahmed Baerveldt Comparison Study during 5 years of follow-up.\nDESIGN: Multicenter, prospective randomized clinical trial.\nMETHODS: setting: Sixteen international clinical centers.\nSTUDY POPULATION: Two hundred seventy-six subjects aged 18-85 years with previous intraocular surgery or refractory glaucoma with intraocular pressure of &gt;18 mm Hg.\nINTERVENTIONS: Ahmed Glaucoma Valve FP7 or Baerveldt Glaucoma Implant BG 101-350.\nMAIN OUTCOME MEASURES: Late postoperative complications (beyond 3 months), reoperations for complications, and decreased vision from complications.\nRESULTS: Late complications developed in 56 subjects (46.8 ± 4.8 5-year cumulative % ± SE) in the Ahmed Glaucoma Valve group and 67 (56.3 ± 4.7 5-year cumulative % ± SE) in the Baerveldt Glaucoma Implant group (P = .082). The cumulative rates of serious complications were 15.9% and 24.7% in the Ahmed Glaucoma Valve and Baerveldt Glaucoma Implant groups, respectively (P = .034), although this was largely driven by subjects who had tube occlusions in the 2 groups (0.8% in the Ahmed Glaucoma Valve group and 5.7% in the Baerveldt Glaucoma Implant group, P = .037). Both groups had a relatively high incidence of persistent diplopia (12%) and corneal edema (20%), although half of the corneal edema cases were likely due to pre-existing causes other than the aqueous shunt. The incidence of tube erosion was 1% and 3% in the Ahmed Glaucoma Valve and Baerveldt Glaucoma Implant groups, respectively (P = .04).\nCONCLUSIONS: Long-term rates of vision-threatening complications and complications resulting in reoperation were higher in the Baerveldt Glaucoma Implant than in the Ahmed Glaucoma Valve group over 5 years of follow-up.","container-title":"American Journal of Ophthalmology","DOI":"10.1016/j.ajo.2015.11.023","ISSN":"1879-1891","journalAbbreviation":"Am J Ophthalmol","language":"eng","note":"PMID: 26596400\nPMCID: PMC4901387","page":"75-82.e3","source":"PubMed","title":"Postoperative Complications in the Ahmed Baerveldt Comparison Study During Five Years of Follow-up","volume":"163","author":[{"family":"Budenz","given":"Donald L."},{"family":"Feuer","given":"William J."},{"family":"Barton","given":"Keith"},{"family":"Schiffman","given":"Joyce"},{"family":"Costa","given":"Vital P."},{"family":"Godfrey","given":"David G."},{"family":"Buys","given":"Yvonne M."},{"literal":"Ahmed Baerveldt Comparison Study Group"}],"issued":{"date-parts":[["2016",3]]},"citation-key":"budenz2016"}}],"schema":"https://github.com/citation-style-language/schema/raw/master/csl-citation.json"} </w:instrText>
      </w:r>
      <w:r w:rsidR="00AC4114">
        <w:fldChar w:fldCharType="separate"/>
      </w:r>
      <w:r w:rsidR="00AC4114">
        <w:fldChar w:fldCharType="end"/>
      </w:r>
      <w:r w:rsidR="006C2B17">
        <w:fldChar w:fldCharType="begin"/>
      </w:r>
      <w:r w:rsidR="00C140F1">
        <w:rPr>
          <w:lang w:val="nb-NO"/>
        </w:rPr>
        <w:instrText xml:space="preserve"> ADDIN ZOTERO_ITEM CSL_CITATION {"citationID":"1m88iUxB","properties":{"formattedCitation":"(Budenz et al., 2016, p. 2)","plainCitation":"(Budenz et al., 2016, p. 2)","noteIndex":0},"citationItems":[{"id":1474,"uris":["http://zotero.org/users/15573016/items/46FX36SP"],"itemData":{"id":1474,"type":"article-journal","abstract":"PURPOSE: To compare the late complications in the Ahmed Baerveldt Comparison Study during 5 years of follow-up.\nDESIGN: Multicenter, prospective randomized clinical trial.\nMETHODS: setting: Sixteen international clinical centers.\nSTUDY POPULATION: Two hundred seventy-six subjects aged 18-85 years with previous intraocular surgery or refractory glaucoma with intraocular pressure of &gt;18 mm Hg.\nINTERVENTIONS: Ahmed Glaucoma Valve FP7 or Baerveldt Glaucoma Implant BG 101-350.\nMAIN OUTCOME MEASURES: Late postoperative complications (beyond 3 months), reoperations for complications, and decreased vision from complications.\nRESULTS: Late complications developed in 56 subjects (46.8 ± 4.8 5-year cumulative % ± SE) in the Ahmed Glaucoma Valve group and 67 (56.3 ± 4.7 5-year cumulative % ± SE) in the Baerveldt Glaucoma Implant group (P = .082). The cumulative rates of serious complications were 15.9% and 24.7% in the Ahmed Glaucoma Valve and Baerveldt Glaucoma Implant groups, respectively (P = .034), although this was largely driven by subjects who had tube occlusions in the 2 groups (0.8% in the Ahmed Glaucoma Valve group and 5.7% in the Baerveldt Glaucoma Implant group, P = .037). Both groups had a relatively high incidence of persistent diplopia (12%) and corneal edema (20%), although half of the corneal edema cases were likely due to pre-existing causes other than the aqueous shunt. The incidence of tube erosion was 1% and 3% in the Ahmed Glaucoma Valve and Baerveldt Glaucoma Implant groups, respectively (P = .04).\nCONCLUSIONS: Long-term rates of vision-threatening complications and complications resulting in reoperation were higher in the Baerveldt Glaucoma Implant than in the Ahmed Glaucoma Valve group over 5 years of follow-up.","container-title":"American Journal of Ophthalmology","DOI":"10.1016/j.ajo.2015.11.023","ISSN":"1879-1891","journalAbbreviation":"Am J Ophthalmol","language":"eng","note":"PMID: 26596400\nPMCID: PMC4901387","page":"75-82.e3","source":"PubMed","title":"Postoperative Complications in the Ahmed Baerveldt Comparison Study During Five Years of Follow-up","volume":"163","author":[{"family":"Budenz","given":"Donald L."},{"family":"Feuer","given":"William J."},{"family":"Barton","given":"Keith"},{"family":"Schiffman","given":"Joyce"},{"family":"Costa","given":"Vital P."},{"family":"Godfrey","given":"David G."},{"family":"Buys","given":"Yvonne M."},{"literal":"Ahmed Baerveldt Comparison Study Group"}],"issued":{"date-parts":[["2016",3]]},"citation-key":"budenz2016"},"locator":"2"}],"schema":"https://github.com/citation-style-language/schema/raw/master/csl-citation.json"} </w:instrText>
      </w:r>
      <w:r w:rsidR="006C2B17">
        <w:fldChar w:fldCharType="separate"/>
      </w:r>
      <w:r w:rsidR="004C7F45">
        <w:rPr>
          <w:noProof/>
          <w:lang w:val="nb-NO"/>
        </w:rPr>
        <w:t>(Budenz et al., 2016, p. 2)</w:t>
      </w:r>
      <w:r w:rsidR="006C2B17">
        <w:fldChar w:fldCharType="end"/>
      </w:r>
    </w:p>
    <w:p w14:paraId="6676E47D" w14:textId="332417AA" w:rsidR="00CD7EBB" w:rsidRPr="004C7F45" w:rsidRDefault="004C7F45" w:rsidP="009948CA">
      <w:pPr>
        <w:pStyle w:val="Caption"/>
        <w:ind w:left="0"/>
        <w:jc w:val="center"/>
      </w:pPr>
      <w:r w:rsidRPr="001D4978">
        <w:t>[3]</w:t>
      </w:r>
      <w:r w:rsidR="00CD7EBB" w:rsidRPr="004C7F45">
        <w:t xml:space="preserve"> </w:t>
      </w:r>
      <w:r w:rsidR="00AC4114">
        <w:fldChar w:fldCharType="begin"/>
      </w:r>
      <w:r w:rsidR="00C140F1">
        <w:instrText xml:space="preserve"> ADDIN ZOTERO_ITEM CSL_CITATION {"citationID":"8oPBwhpy","properties":{"formattedCitation":"(Budenz et al., 2011)","plainCitation":"(Budenz et al., 2011)","noteIndex":0},"citationItems":[{"id":1471,"uris":["http://zotero.org/users/15573016/items/YU9LGLXA"],"itemData":{"id":1471,"type":"article-journal","abstract":"PURPOSE: To determine the relative efficacy and complications of the Ahmed glaucoma valve (AGV) model FP7 (New World Medical, Ranchos Cucamonga, CA) and the Baerveldt glaucoma implant (BGI) model 101-350 (Abbott Medical Optics, Abbott Park, IL) in refractory glaucoma.\nDESIGN: Multicenter, randomized, controlled clinical trial.\nPARTICIPANTS: Two hundred seventy-six patients, including 143 in the AGV group and 133 in the BGI group.\nMETHODS: Patients 18 to 85 years of age with refractory glaucoma having intraocular pressure (IOP) of 18 mmHg or more in whom an aqueous shunt was planned were randomized to undergo implantation of either an AGV or a BGI.\nMAIN OUTCOME MEASURES: The primary outcome was failure, defined as IOP &gt;21 mmHg or not reduced by 20% from baseline, IOP ≤5 mmHg, reoperation for glaucoma or removal of implant, or loss of light perception vision. Secondary outcomes included mean IOP, visual acuity, use of supplemental medical therapy, and complications.\nRESULTS: Preoperative IOP (mean±standard deviation [SD]) was 31.2±11.2 mmHg in the AGV group and 31.8±12.5 mmHg in the BGI group (P = 0.71). At 1 year, mean±SD IOP was 15.4±5.5 mmHg in the AGV group and 13.2±6.8 mmHg in the BGI group (P = 0.007). The mean±SD number of glaucoma medications was 1.8±1.3 in the AGV group and 1.5±1.4 in the BGI group (P = 0.071). The cumulative probability of failure was 16.4% (standard error [SE], 3.1%) in the AGV group and 14.0% (SE, 3.1%) in the BGI group at 1 year (P = 0.52). More patients experienced early postoperative complications in the BGI group (n = 77; 58%) compared with the AGV group (n = 61; 43%; P = 0.016). Serious postoperative complications associated with reoperation, vision loss of ≥2 Snellen lines, or both occurred in 29 patients (20%) in the AGV group and in 45 patients (34%) in the BGI group (P = 0.014).\nCONCLUSIONS: Although the average IOP after 1 year was slightly higher in patients who received an AGV, there were fewer early and serious postoperative complications associated with the use of the AGV than the BGI.","container-title":"Ophthalmology","DOI":"10.1016/j.ophtha.2010.07.016","ISSN":"1549-4713","issue":"3","journalAbbreviation":"Ophthalmology","language":"eng","note":"PMID: 20932583\nPMCID: PMC3020266","page":"443-452","source":"PubMed","title":"Treatment outcomes in the Ahmed Baerveldt Comparison Study after 1 year of follow-up","volume":"118","author":[{"family":"Budenz","given":"Donald L."},{"family":"Barton","given":"Keith"},{"family":"Feuer","given":"William J."},{"family":"Schiffman","given":"Joyce"},{"family":"Costa","given":"Vital P."},{"family":"Godfrey","given":"David G."},{"family":"Buys","given":"Yvonne M."},{"literal":"Ahmed Baerveldt Comparison Study Group"}],"issued":{"date-parts":[["2011",3]]},"citation-key":"budenz2011"}}],"schema":"https://github.com/citation-style-language/schema/raw/master/csl-citation.json"} </w:instrText>
      </w:r>
      <w:r w:rsidR="00AC4114">
        <w:fldChar w:fldCharType="separate"/>
      </w:r>
      <w:r>
        <w:t>(Budenz et al., 2011)</w:t>
      </w:r>
      <w:r w:rsidR="00AC4114">
        <w:fldChar w:fldCharType="end"/>
      </w:r>
    </w:p>
    <w:p w14:paraId="6D1D3B54" w14:textId="5F753F55" w:rsidR="009176CB" w:rsidRPr="004C7F45" w:rsidRDefault="00890BC9" w:rsidP="009948CA">
      <w:pPr>
        <w:pStyle w:val="Caption"/>
        <w:ind w:left="0"/>
        <w:jc w:val="center"/>
      </w:pPr>
      <w:r w:rsidRPr="004C7F45">
        <w:t xml:space="preserve">[4] </w:t>
      </w:r>
      <w:r w:rsidR="006C2B17">
        <w:rPr>
          <w:lang w:val="nb-NO"/>
        </w:rPr>
        <w:fldChar w:fldCharType="begin"/>
      </w:r>
      <w:r w:rsidR="00C140F1">
        <w:instrText xml:space="preserve"> ADDIN ZOTERO_ITEM CSL_CITATION {"citationID":"Rw6RBLlS","properties":{"formattedCitation":"(Molteno, 2011)","plainCitation":"(Molteno, 2011)","noteIndex":0},"citationItems":[{"id":2000,"uris":["http://zotero.org/users/15573016/items/MSVNC3FW"],"itemData":{"id":2000,"type":"article-journal","container-title":"Archives of Ophthalmology","DOI":"10.1001/archophthalmol.2011.221","ISSN":"0003-9950","issue":"11","journalAbbreviation":"Arch Ophthalmol","language":"en","page":"1444","source":"DOI.org (Crossref)","title":"Long-term Results of Primary Trabeculectomies and Molteno Implants for Primary Open-Angle Glaucoma","URL":"http://archopht.jamanetwork.com/article.aspx?doi=10.1001/archophthalmol.2011.221","volume":"129","author":[{"family":"Molteno","given":"Anthony C. B."}],"accessed":{"date-parts":[["2025",7,7]]},"issued":{"date-parts":[["2011",11,1]]},"citation-key":"molteno2011"}}],"schema":"https://github.com/citation-style-language/schema/raw/master/csl-citation.json"} </w:instrText>
      </w:r>
      <w:r w:rsidR="006C2B17">
        <w:rPr>
          <w:lang w:val="nb-NO"/>
        </w:rPr>
        <w:fldChar w:fldCharType="separate"/>
      </w:r>
      <w:r w:rsidR="006C2B17" w:rsidRPr="004C7F45">
        <w:rPr>
          <w:noProof/>
        </w:rPr>
        <w:t>(Molteno, 2011)</w:t>
      </w:r>
      <w:r w:rsidR="006C2B17">
        <w:rPr>
          <w:lang w:val="nb-NO"/>
        </w:rPr>
        <w:fldChar w:fldCharType="end"/>
      </w:r>
    </w:p>
    <w:p w14:paraId="1ACA2A17" w14:textId="51B98BEF" w:rsidR="004146FC" w:rsidRPr="004146FC" w:rsidRDefault="009176CB" w:rsidP="009948CA">
      <w:pPr>
        <w:pStyle w:val="Caption"/>
        <w:ind w:left="0"/>
        <w:jc w:val="center"/>
        <w:sectPr w:rsidR="004146FC" w:rsidRPr="004146FC" w:rsidSect="004146FC">
          <w:type w:val="continuous"/>
          <w:pgSz w:w="16834" w:h="11909" w:orient="landscape"/>
          <w:pgMar w:top="1134" w:right="1134" w:bottom="1701" w:left="1134" w:header="1134" w:footer="1134" w:gutter="0"/>
          <w:cols w:num="3" w:space="720"/>
          <w:titlePg/>
          <w:docGrid w:linePitch="326"/>
        </w:sectPr>
      </w:pPr>
      <w:r w:rsidRPr="004C7F45">
        <w:t xml:space="preserve">[5] </w:t>
      </w:r>
      <w:r w:rsidR="006C2B17">
        <w:rPr>
          <w:lang w:val="nb-NO"/>
        </w:rPr>
        <w:fldChar w:fldCharType="begin"/>
      </w:r>
      <w:r w:rsidR="00C140F1">
        <w:instrText xml:space="preserve"> ADDIN ZOTERO_ITEM CSL_CITATION {"citationID":"9Rnqv8Hw","properties":{"formattedCitation":"(Olayanju et al., 2015)","plainCitation":"(Olayanju et al., 2015)","noteIndex":0},"citationItems":[{"id":1938,"uris":["http://zotero.org/users/15573016/items/QE5G5YAK"],"itemData":{"id":1938,"type":"article-journal","container-title":"JAMA Ophthalmology","DOI":"10.1001/jamaophthalmol.2015.57","ISSN":"2168-6165","issue":"5","journalAbbreviation":"JAMA Ophthalmol","language":"en","page":"574","source":"DOI.org (Crossref)","title":"Trabeculectomy-Related Complications in Olmsted County, Minnesota, 1985 Through 2010","URL":"http://archopht.jamanetwork.com/article.aspx?doi=10.1001/jamaophthalmol.2015.57","volume":"133","author":[{"family":"Olayanju","given":"Jessica A."},{"family":"Hassan","given":"Mohamed B."},{"family":"Hodge","given":"David O."},{"family":"Khanna","given":"Cheryl L."}],"accessed":{"date-parts":[["2025",7,6]]},"issued":{"date-parts":[["2015",5,1]]},"citation-key":"olayanju2015f"}}],"schema":"https://github.com/citation-style-language/schema/raw/master/csl-citation.json"} </w:instrText>
      </w:r>
      <w:r w:rsidR="006C2B17">
        <w:rPr>
          <w:lang w:val="nb-NO"/>
        </w:rPr>
        <w:fldChar w:fldCharType="separate"/>
      </w:r>
      <w:r w:rsidR="006C2B17" w:rsidRPr="004C7F45">
        <w:rPr>
          <w:noProof/>
        </w:rPr>
        <w:t>(Olayanju et al., 2015)</w:t>
      </w:r>
      <w:r w:rsidR="006C2B17">
        <w:rPr>
          <w:lang w:val="nb-NO"/>
        </w:rPr>
        <w:fldChar w:fldCharType="end"/>
      </w:r>
    </w:p>
    <w:p w14:paraId="47F6A5FD" w14:textId="610C391C" w:rsidR="00A46067" w:rsidRPr="006C2B17" w:rsidRDefault="00C04E2A" w:rsidP="001D4978">
      <w:pPr>
        <w:keepNext/>
        <w:jc w:val="center"/>
        <w:rPr>
          <w:lang w:val="nb-NO"/>
        </w:rPr>
      </w:pPr>
      <w:r>
        <w:rPr>
          <w:noProof/>
          <w:lang w:val="nb-NO"/>
        </w:rPr>
      </w:r>
      <w:r w:rsidR="00C04E2A">
        <w:rPr>
          <w:noProof/>
          <w:lang w:val="nb-NO"/>
        </w:rPr>
        <w:object w:dxaOrig="11120" w:dyaOrig="6100" w14:anchorId="58430D59">
          <v:shape id="_x0000_i1107" type="#_x0000_t75" alt="" style="width:559pt;height:305pt;mso-width-percent:0;mso-height-percent:0;mso-width-percent:0;mso-height-percent:0" o:ole="">
            <v:imagedata r:id="rId14" o:title=""/>
          </v:shape>
          <o:OLEObject Type="Embed" ProgID="Excel.Sheet.12" ShapeID="_x0000_i1107" DrawAspect="Content" ObjectID="_1823795815" r:id="rId15"/>
        </w:object>
      </w:r>
    </w:p>
    <w:p w14:paraId="37F7867E" w14:textId="3916A28B" w:rsidR="000C6153" w:rsidRPr="00627201" w:rsidRDefault="00A46067" w:rsidP="009948CA">
      <w:pPr>
        <w:pStyle w:val="Caption"/>
        <w:ind w:left="0"/>
        <w:jc w:val="center"/>
        <w:rPr>
          <w:b/>
          <w:bCs/>
        </w:rPr>
      </w:pPr>
      <w:bookmarkStart w:id="58" w:name="_Toc212650670"/>
      <w:bookmarkStart w:id="59" w:name="_Ref213182209"/>
      <w:r w:rsidRPr="00627201">
        <w:t xml:space="preserve">Table </w:t>
      </w:r>
      <w:r>
        <w:fldChar w:fldCharType="begin"/>
      </w:r>
      <w:r w:rsidRPr="00627201">
        <w:instrText xml:space="preserve"> SEQ Table \* ARABIC </w:instrText>
      </w:r>
      <w:r>
        <w:fldChar w:fldCharType="separate"/>
      </w:r>
      <w:r w:rsidR="00B037C9">
        <w:rPr>
          <w:noProof/>
        </w:rPr>
        <w:t>3</w:t>
      </w:r>
      <w:r>
        <w:rPr>
          <w:noProof/>
        </w:rPr>
        <w:fldChar w:fldCharType="end"/>
      </w:r>
      <w:bookmarkEnd w:id="59"/>
      <w:r w:rsidRPr="00627201">
        <w:t xml:space="preserve"> - </w:t>
      </w:r>
      <w:r w:rsidRPr="00627201">
        <w:rPr>
          <w:b/>
          <w:bCs/>
        </w:rPr>
        <w:t>Postoperative Complications after Non-penetrating Surgeries</w:t>
      </w:r>
      <w:bookmarkEnd w:id="58"/>
    </w:p>
    <w:p w14:paraId="7391463F" w14:textId="77777777" w:rsidR="00474CCC" w:rsidRPr="00627201" w:rsidRDefault="00474CCC" w:rsidP="009948CA">
      <w:pPr>
        <w:pStyle w:val="Caption"/>
        <w:ind w:left="0"/>
        <w:jc w:val="center"/>
        <w:sectPr w:rsidR="00474CCC" w:rsidRPr="00627201" w:rsidSect="000C6153">
          <w:type w:val="continuous"/>
          <w:pgSz w:w="16834" w:h="11909" w:orient="landscape"/>
          <w:pgMar w:top="1134" w:right="1134" w:bottom="1701" w:left="1134" w:header="1134" w:footer="1134" w:gutter="0"/>
          <w:cols w:space="720"/>
          <w:titlePg/>
          <w:docGrid w:linePitch="326"/>
        </w:sectPr>
      </w:pPr>
    </w:p>
    <w:p w14:paraId="2CCA2333" w14:textId="4FEF7D2F" w:rsidR="00CD7EBB" w:rsidRPr="006C2B17" w:rsidRDefault="00CD7EBB" w:rsidP="009948CA">
      <w:pPr>
        <w:pStyle w:val="Caption"/>
        <w:ind w:left="0"/>
        <w:jc w:val="center"/>
        <w:rPr>
          <w:lang w:val="nb-NO"/>
        </w:rPr>
      </w:pPr>
      <w:r w:rsidRPr="006C2B17">
        <w:rPr>
          <w:lang w:val="nb-NO"/>
        </w:rPr>
        <w:t>[1]</w:t>
      </w:r>
      <w:r w:rsidR="00474CCC" w:rsidRPr="006C2B17">
        <w:rPr>
          <w:lang w:val="nb-NO"/>
        </w:rPr>
        <w:t xml:space="preserve"> </w:t>
      </w:r>
      <w:r w:rsidR="00F967DF">
        <w:rPr>
          <w:lang w:val="nb-NO"/>
        </w:rPr>
        <w:fldChar w:fldCharType="begin"/>
      </w:r>
      <w:r w:rsidR="00C140F1">
        <w:rPr>
          <w:lang w:val="nb-NO"/>
        </w:rPr>
        <w:instrText xml:space="preserve"> ADDIN ZOTERO_ITEM CSL_CITATION {"citationID":"gezb82mX","properties":{"formattedCitation":"(Khairy et al., 2006)","plainCitation":"(Khairy et al., 2006)","noteIndex":0},"citationItems":[{"id":821,"uris":["http://zotero.org/users/15573016/items/GRHQZITX"],"itemData":{"id":821,"type":"article-journal","abstract":"AIM: To study the long-term outcome of deep sclerectomy in patients with open angle glaucoma.\nMETHODS: Prospective consecutive series of 43 eyes (38 patients) with medically uncontrolled open-angle glaucoma undergoing deep sclerectomy. All patients underwent clinical assessment before and after surgery at day 7 and at months 1, 3, 6, 12, 18, 24, 36. Surgical success was considered if the patient's intraocular pressure (IOP) &lt; 22 mmHg and the IOP was lowered by more than 20% without the use of any medication. Kaplan-Meier survival curves were used to evaluate the success rate.\nRESULTS: The mean follow-up time was 28.1 +/- 8.2 months. Mean IOP decreased significantly from a preoperative value of 24.6 +/- 5.5 mmHg to a postoperative value of 18.5 +/- 4.6 mmHg at 36 months (P &lt; 0.001). Microperforation of TDM occurred in three cases (7.0%) and ciliary body prolapse in one case (2.3%) but did not prevent completion of the operation. Postoperatively, hyphaema was detected in one case and shallow anterior chamber in another case and both were treated conservatively. Bleb encapsulation with elevation of IOP occurred in two cases (4.7%) and was treated with 5-fluorouracil subconjunctival injection. Goniopuncture with neodymium : YAG laser was performed in two cases (4.7%). There were no other late complications with the exception of failure of the operation. On the life-table analysis the success rate at 12, 24, and 30 months were 61.4, 36.6, and 18.9%, respectively.\nCONCLUSION: Deep sclerectomy reduced the IOP temporarily while minimising the risk of postoperative complications commonly encountered with standard trabeculectomy. However, after long-term follow-up surgery failed to maintain a low IOP.","container-title":"Eye (London, England)","DOI":"10.1038/sj.eye.6701878","ISSN":"0950-222X","issue":"3","journalAbbreviation":"Eye (Lond)","language":"eng","note":"PMID: 15832183","page":"336-340","source":"PubMed","title":"Control of intraocular pressure after deep sclerectomy","volume":"20","author":[{"family":"Khairy","given":"H. A."},{"family":"Green","given":"F. D."},{"family":"Nassar","given":"M. K."},{"family":"Azuara-Blanco","given":"A."}],"issued":{"date-parts":[["2006",3]]},"citation-key":"khairy2006"}}],"schema":"https://github.com/citation-style-language/schema/raw/master/csl-citation.json"} </w:instrText>
      </w:r>
      <w:r w:rsidR="00F967DF">
        <w:rPr>
          <w:lang w:val="nb-NO"/>
        </w:rPr>
        <w:fldChar w:fldCharType="separate"/>
      </w:r>
      <w:r w:rsidR="00F967DF">
        <w:rPr>
          <w:noProof/>
          <w:lang w:val="nb-NO"/>
        </w:rPr>
        <w:t>(Khairy et al., 2006)</w:t>
      </w:r>
      <w:r w:rsidR="00F967DF">
        <w:rPr>
          <w:lang w:val="nb-NO"/>
        </w:rPr>
        <w:fldChar w:fldCharType="end"/>
      </w:r>
    </w:p>
    <w:p w14:paraId="61B536B7" w14:textId="4BDC0BF7" w:rsidR="00CD7EBB" w:rsidRPr="009176CB" w:rsidRDefault="00CD7EBB" w:rsidP="009948CA">
      <w:pPr>
        <w:pStyle w:val="Caption"/>
        <w:ind w:left="0"/>
        <w:jc w:val="center"/>
        <w:rPr>
          <w:lang w:val="nb-NO"/>
        </w:rPr>
      </w:pPr>
      <w:r w:rsidRPr="009176CB">
        <w:rPr>
          <w:lang w:val="nb-NO"/>
        </w:rPr>
        <w:t>[2]</w:t>
      </w:r>
      <w:r w:rsidR="00474CCC" w:rsidRPr="009176CB">
        <w:rPr>
          <w:lang w:val="nb-NO"/>
        </w:rPr>
        <w:t xml:space="preserve"> </w:t>
      </w:r>
      <w:r w:rsidR="00AC4114">
        <w:fldChar w:fldCharType="begin"/>
      </w:r>
      <w:r w:rsidR="00C140F1">
        <w:rPr>
          <w:lang w:val="nb-NO"/>
        </w:rPr>
        <w:instrText xml:space="preserve"> ADDIN ZOTERO_ITEM CSL_CITATION {"citationID":"SGGlusez","properties":{"formattedCitation":"(Rabiolo et al., 2021)","plainCitation":"(Rabiolo et al., 2021)","noteIndex":0},"citationItems":[{"id":1843,"uris":["http://zotero.org/users/15573016/items/G625VRKH"],"itemData":{"id":1843,"type":"article-journal","abstract":"Precis:\n              Chronic hypotony is not uncommon following deep sclerectomy (DS), but only a minor proportion of patients develop hypotony-associated complications. Numerical hypotony does not affect the visual outcomes. This study identifies factors associated with hypotony.\n            \n            \n              Purpose:\n              To investigate the incidence and risk factors of hypotony and hypotony-associated complications after DS.\n            \n            \n              Methods:\n              Retrospective cohort study of 1765 eyes (1385 patients) undergoing DS with or without cataract extraction between 2001 and 2020 in 2 UK centers. Chronic hypotony was defined as intraocular pressure (IOP) ≤5 mm Hg in ≥2 consecutive visits lasting &gt;90 days or as any IOP ≤5 mm Hg associated with hypotony-related complications or requiring surgical intervention. Clinical hypotony was defined as the presence of: serous or hemorrhagic choroidal detachment, hypotony maculopathy, flat anterior chamber requiring reformation, decompression retinopathy. The incidence of hypotony was calculated with Kaplan-Meier statistics, and Cox regression was used to identify risk factors.\n            \n            \n              Results:\n              \n                The median (interquartile range) age and follow-up were 76 (67 to 82) years and 45.4 (20.9 to 79.8) months, respectively. The incidence (95% confidence interval) of chronic and clinical hypotony at 5 years was 13.4% (11.5%-15.3%) and 5.6% (4.3%-6.9%), respectively. Sixteen eyes (15.7%) with hypotony-associated complications had IOP &gt;5 mm Hg. Male sex (hazard ratio [HR]: 1.89,\n                P\n                =0.018), non-Caucasian ethnicity (HR: 2.49,\n                P\n                =0.046), intraoperative bevacizumab (HR: 3.96,\n                P\n                =0.01), pigmentary glaucoma (HR: 3.59,\n                P\n                =0.048), previous vitreoretinal surgery (HR: 5.70,\n                P\n                =0.009), intraoperative microperforation (HR: 4.17,\n                P\n                &lt;0.001) and macroperforation (HR: 20.76,\n                P\n                &lt;0.001), and avascular bleb (HR: 1.80,\n                P\n                =0.036) were associated with clinical hypotony.\n              \n            \n            \n              Discussion:\n              Chronic hypotony is not uncommon following DS, but clinical hypotony is infrequent. Hypotony associated-complications can occur in eyes without statistical hypotony.","container-title":"Journal of Glaucoma","DOI":"10.1097/IJG.0000000000001882","ISSN":"1057-0829","issue":"7","language":"en","page":"e314-e326","source":"DOI.org (Crossref)","title":"Hypotony-associated Complications After Deep Sclerectomy: Incidence, Risk Factors, and Long-term Outcomes","title-short":"Hypotony-associated Complications After Deep Sclerectomy","URL":"https://journals.lww.com/10.1097/IJG.0000000000001882","volume":"30","author":[{"family":"Rabiolo","given":"Alessandro"},{"family":"Leadbetter","given":"Duncan"},{"family":"Anand","given":"Nitin"}],"accessed":{"date-parts":[["2025",7,1]]},"issued":{"date-parts":[["2021",7]]},"citation-key":"rabiolo2021b"}}],"schema":"https://github.com/citation-style-language/schema/raw/master/csl-citation.json"} </w:instrText>
      </w:r>
      <w:r w:rsidR="00AC4114">
        <w:fldChar w:fldCharType="separate"/>
      </w:r>
      <w:r w:rsidR="00294562" w:rsidRPr="001E4BC8">
        <w:rPr>
          <w:lang w:val="nb-NO"/>
        </w:rPr>
        <w:t>(Rabiolo et al., 2021)</w:t>
      </w:r>
      <w:r w:rsidR="00AC4114">
        <w:fldChar w:fldCharType="end"/>
      </w:r>
    </w:p>
    <w:p w14:paraId="0000E67F" w14:textId="4E48148B" w:rsidR="00CD7EBB" w:rsidRPr="009176CB" w:rsidRDefault="00CD7EBB" w:rsidP="009948CA">
      <w:pPr>
        <w:pStyle w:val="Caption"/>
        <w:ind w:left="0"/>
        <w:jc w:val="center"/>
        <w:rPr>
          <w:lang w:val="nb-NO"/>
        </w:rPr>
      </w:pPr>
      <w:r w:rsidRPr="009176CB">
        <w:rPr>
          <w:lang w:val="nb-NO"/>
        </w:rPr>
        <w:t>[3]</w:t>
      </w:r>
      <w:r w:rsidR="00474CCC" w:rsidRPr="009176CB">
        <w:rPr>
          <w:lang w:val="nb-NO"/>
        </w:rPr>
        <w:t xml:space="preserve"> </w:t>
      </w:r>
      <w:r w:rsidR="00F967DF">
        <w:rPr>
          <w:lang w:val="nb-NO"/>
        </w:rPr>
        <w:fldChar w:fldCharType="begin"/>
      </w:r>
      <w:r w:rsidR="00C140F1">
        <w:rPr>
          <w:lang w:val="nb-NO"/>
        </w:rPr>
        <w:instrText xml:space="preserve"> ADDIN ZOTERO_ITEM CSL_CITATION {"citationID":"F9Mcjcpj","properties":{"formattedCitation":"(Rabiolo et al., 2023)","plainCitation":"(Rabiolo et al., 2023)","noteIndex":0},"citationItems":[{"id":1580,"uris":["http://zotero.org/users/15573016/items/XXBX5ZX4"],"itemData":{"id":1580,"type":"article-journal","abstract":"Aims\n              To report the incidence, risk factors and long-term outcomes of laser goniopuncture (LGP) in patients with previous deep sclerectomy (DS).\n            \n            \n              Methods\n              Retrospective cohort study of 1765 eyes (1385 patients) undergoing DS with or without cataract surgery between 2001 and 2020 in two UK institutions. Kaplan-Meier was used to estimate LGP incidence. DS success after LGP was calculated for criteria A, B, and C defined as intraocular pressure (IOP) of ≤18, ≤15 and ≤12 mm Hg with 20%, 25% and 30% reduction, respectively. Cox regression was used to investigate factors associated with the risk of failure.\n            \n            \n              Results\n              LGP had an estimated incidence of 33.3% (30.9%–35.6%), 56.3% (53.5%–58.9%) and 62.8% (59.7%–65.6%) at 1, 3, 5 years, respectively. Mean (±SD) IOP significantly (p&lt;0.001) decreased from 21.2 (±6.0) mm Hg pre-LGP to 13.8 (±5.2) mm Hg and 12.9 (±4.7) mm Hg at 3 and 5 years post-LGP, respectively. Success rates at 3 and 5 years were, respectively, 40.9% (37.5%–44.6%) and 33.7% (30.3%–37.6%) for criterion A; 27.1% (24.0%–30.5%) and 22.3% (19.3%–25.7%) for criterion B and 13.9% (11.6%–16.7%) and 11.6% (9.5%–14.3%) for criterion C. In all models, higher pre-LGP IOP (p&lt;0.001) and higher pre-LGP medication number (p&lt;0.001) were associated with increased failure, while male gender (p≤0.004), intraoperative mitomycin C (p≤0.031), longer interval between DS and LGP (p≤0.01) with reduced failure.\n            \n            \n              Conclusion\n              Most patients undergoing DS will eventually require LGP. LGP is effective at rescuing eyes with a failing DS. This study identifies several factors associated with LGP outcomes, knowledge of which may help clinicians predict LGP success.","container-title":"British Journal of Ophthalmology","DOI":"10.1136/bjophthalmol-2021-319314","ISSN":"0007-1161, 1468-2079","issue":"1","journalAbbreviation":"Br J Ophthalmol","language":"en","page":"56-61","source":"DOI.org (Crossref)","title":"Laser goniopuncture after deep sclerectomy: incidence, long-term outcomes and risk factors for failure","title-short":"Laser goniopuncture after deep sclerectomy","URL":"https://bjo.bmj.com/lookup/doi/10.1136/bjophthalmol-2021-319314","volume":"107","author":[{"family":"Rabiolo","given":"Alessandro"},{"family":"Leadbetter","given":"Duncan"},{"family":"Kirk","given":"Jonathan"},{"family":"Anand","given":"Nitin"}],"accessed":{"date-parts":[["2025",6,30]]},"issued":{"date-parts":[["2023",1]]},"citation-key":"rabiolo2023"}}],"schema":"https://github.com/citation-style-language/schema/raw/master/csl-citation.json"} </w:instrText>
      </w:r>
      <w:r w:rsidR="00F967DF">
        <w:rPr>
          <w:lang w:val="nb-NO"/>
        </w:rPr>
        <w:fldChar w:fldCharType="separate"/>
      </w:r>
      <w:r w:rsidR="00F967DF">
        <w:rPr>
          <w:noProof/>
          <w:lang w:val="nb-NO"/>
        </w:rPr>
        <w:t>(Rabiolo et al., 2023)</w:t>
      </w:r>
      <w:r w:rsidR="00F967DF">
        <w:rPr>
          <w:lang w:val="nb-NO"/>
        </w:rPr>
        <w:fldChar w:fldCharType="end"/>
      </w:r>
    </w:p>
    <w:p w14:paraId="3D974BB6" w14:textId="23B2C201" w:rsidR="00CD7EBB" w:rsidRPr="00DA25A0" w:rsidRDefault="00CD7EBB" w:rsidP="009948CA">
      <w:pPr>
        <w:pStyle w:val="Caption"/>
        <w:ind w:left="0"/>
        <w:jc w:val="center"/>
        <w:rPr>
          <w:lang w:val="nb-NO"/>
        </w:rPr>
      </w:pPr>
      <w:r w:rsidRPr="009176CB">
        <w:rPr>
          <w:lang w:val="nb-NO"/>
        </w:rPr>
        <w:t>[4]</w:t>
      </w:r>
      <w:r w:rsidR="00474CCC" w:rsidRPr="009176CB">
        <w:rPr>
          <w:lang w:val="nb-NO"/>
        </w:rPr>
        <w:t xml:space="preserve"> </w:t>
      </w:r>
      <w:r w:rsidR="00F967DF">
        <w:rPr>
          <w:lang w:val="nb-NO"/>
        </w:rPr>
        <w:fldChar w:fldCharType="begin"/>
      </w:r>
      <w:r w:rsidR="00C140F1">
        <w:rPr>
          <w:lang w:val="nb-NO"/>
        </w:rPr>
        <w:instrText xml:space="preserve"> ADDIN ZOTERO_ITEM CSL_CITATION {"citationID":"F1n1JDQ7","properties":{"formattedCitation":"(Brusini et al., 2016)","plainCitation":"(Brusini et al., 2016)","noteIndex":0},"citationItems":[{"id":1703,"uris":["http://zotero.org/users/15573016/items/HUWDT2SP"],"itemData":{"id":1703,"type":"article-journal","abstract":"Purpose:\n              To present the mid-term results of a prospective multicenter study on canaloplasty surgery in chronic open-angle glaucoma.\n            \n            \n              Materials and Methods:\n              A total of 218 eyes from 197 patients with open-angle glaucoma under maximum tolerated medical therapy underwent canaloplasty within a time period of 42 months in 3 different Italian eye centers. All patients underwent a complete ophthalmic examination every 6 months. The follow-up ranged from 3 to 42 months.\n            \n            \n              Results:\n              \n                The entire procedure according to standard protocol could not be performed in 20 eyes (9.2%). A total of 198 eyes from 178 patients with a mean follow-up of 23.1±10.6 months were taken into consideration. The preoperative mean intraocular pressure (IOP) was 28.4±7.5 mm Hg. The mean IOP at the 2-year follow-up was 15.9±4.7 mm Hg (range, 6 to 40 mm Hg; paired\n                t\n                test;\n                P\n                =0.0001), with a mean reduction from baseline of 44% (range, 11.1% to 82.8%). After 2 years of follow-up, a qualified success rate based on postoperative IOP≤21, ≤18, and ≤16 mm Hg was obtained in 82 (92.1%), 75 (84.3%), and 61 (68.5%) eyes, respectively; a complete success for an IOP≤21, ≤18, and ≤16 mm Hg was obtained in 63 (70.8%), 60 (67.4%), and 53 (59.5%) eyes, respectively. The number of medications used preoperatively and at the 2-year follow-up was 3.2±0.9 and 1.1±1.3, respectively. The most frequently seen complications included: hyphema in 47 eyes (23.7%), Descemet membrane detachment in 11 eyes (5.5%), and IOP spikes &gt;10 mm Hg in 12 cases (6.1%).\n              \n            \n            \n              Conclusions:\n              Canaloplasty is a quite difficult surgical technique; however, mid-term results are promising. Complications can sometimes occur, but are seldom serious. The main advantage of this promising bleb-less procedure is that physiological humor aqueous outflow is restored.","container-title":"Journal of Glaucoma","DOI":"10.1097/IJG.0000000000000103","ISSN":"1057-0829","issue":"5","language":"en","page":"403-407","source":"DOI.org (Crossref)","title":"Canaloplasty in Open-angle Glaucoma: Mid-term Results From a Multicenter Study","title-short":"Canaloplasty in Open-angle Glaucoma","URL":"https://journals.lww.com/00061198-201605000-00001","volume":"25","author":[{"family":"Brusini","given":"Paolo"},{"family":"Caramello","given":"Guido"},{"family":"Benedetti","given":"Stefano"},{"family":"Tosoni","given":"Claudia"}],"accessed":{"date-parts":[["2025",7,1]]},"issued":{"date-parts":[["2016",5]]},"citation-key":"brusini2016"}}],"schema":"https://github.com/citation-style-language/schema/raw/master/csl-citation.json"} </w:instrText>
      </w:r>
      <w:r w:rsidR="00F967DF">
        <w:rPr>
          <w:lang w:val="nb-NO"/>
        </w:rPr>
        <w:fldChar w:fldCharType="separate"/>
      </w:r>
      <w:r w:rsidR="00F967DF">
        <w:rPr>
          <w:noProof/>
          <w:lang w:val="nb-NO"/>
        </w:rPr>
        <w:t>(Brusini et al., 2016)</w:t>
      </w:r>
      <w:r w:rsidR="00F967DF">
        <w:rPr>
          <w:lang w:val="nb-NO"/>
        </w:rPr>
        <w:fldChar w:fldCharType="end"/>
      </w:r>
    </w:p>
    <w:p w14:paraId="70405A16" w14:textId="7A52EE78" w:rsidR="00CD7EBB" w:rsidRPr="00DA25A0" w:rsidRDefault="00CD7EBB" w:rsidP="009948CA">
      <w:pPr>
        <w:pStyle w:val="Caption"/>
        <w:ind w:left="0"/>
        <w:jc w:val="center"/>
        <w:rPr>
          <w:lang w:val="nb-NO"/>
        </w:rPr>
      </w:pPr>
      <w:r w:rsidRPr="00DA25A0">
        <w:rPr>
          <w:lang w:val="nb-NO"/>
        </w:rPr>
        <w:t>[5]</w:t>
      </w:r>
      <w:r w:rsidR="00474CCC" w:rsidRPr="00DA25A0">
        <w:rPr>
          <w:lang w:val="nb-NO"/>
        </w:rPr>
        <w:t xml:space="preserve"> </w:t>
      </w:r>
      <w:r w:rsidR="00F967DF">
        <w:rPr>
          <w:lang w:val="nb-NO"/>
        </w:rPr>
        <w:fldChar w:fldCharType="begin"/>
      </w:r>
      <w:r w:rsidR="00C140F1">
        <w:rPr>
          <w:lang w:val="nb-NO"/>
        </w:rPr>
        <w:instrText xml:space="preserve"> ADDIN ZOTERO_ITEM CSL_CITATION {"citationID":"dwPZUbOz","properties":{"formattedCitation":"(Mercieca et al., 2025)","plainCitation":"(Mercieca et al., 2025)","noteIndex":0},"citationItems":[{"id":1577,"uris":["http://zotero.org/users/15573016/items/GUMWAIWL"],"itemData":{"id":1577,"type":"article-journal","abstract":"Précis:\n              Deep sclerectomy (DS) and canaloplasty provide better intraocular pressure (IOP) control than viscocanalostomy. DS required less glaucoma medications but more interventions to reach the target IOP.\n            \n            \n              Purpose:\n              To compare real-world outcomes of 3 non-penetrating glaucoma surgery (NPGS) techniques.\n            \n            \n              Methods:\n              Retrospective, cohort study of consecutive patients undergoing canaloplasty (CP), deep sclerectomy (DS), and viscocanalostomy (VC), across 9 European glaucoma units. Four intraocular pressure (IOP) criteria were used to define success at 2-year follow-up: (A) IOP≤21 mmHg and ≥20% reduction; (B) IOP≤18 mmHg and ≥20% reduction; (C) IOP≤15 mmHg and ≥25% reduction; (D) IOP≤12 mmHg and ≥30% reduction. Secondary outcomes included IOP control, BCVA, number of medications over time, risk factors for failure, complications, and post-operative interventions. Success was distinguished as qualified or complete, if reached with or without antiglaucoma medications, respectively.\n            \n            \n              Results:\n              \n                Six hundred eyes (545 patients) undergoing standalone CP (201 eyes), DS (200 eyes), and VC (199 eyes) were included. Qualified success rates of CP, DS, and VP at 24 months were, respectively: (criterion A) 85.1%, 67.6%, and 64.6%; (criterion B) 85.1%, 66.1%, and 58.6%; (criterion C) 76.6%, 55.5%, and 39.0%; (criterion D) 27.7%, 28.5%, and 22.1%. Success rates were significantly different across the 3 techniques (\n                P\n                =0.04 or below), except for complete success according to criterion A (\n                P\n                =0.07). Mean IOP(±SD) reduced from 25.2 (±6.9), 20.5 (±6.7), and 22.7 (±7.2)mmHg preoperatively to 13.1 (±3.1), 12.9 (±4.5), and 14.7 (±4.6)mmHg at postoperative year 2 in the CP, DS, and VC groups, respectively (\n                P\n                &lt;0.001 between preoperative and postoperative time points for all groups).\n              \n            \n            \n              Conclusions:\n              All 3 NPGS provide sustained IOP reduction, but DS and CP provide better success rates and IOP control. Success rates were low for the most stringent cutoffs, suggesting that other techniques such as trabeculectomy may be indicated when a very low target IOP is demanded.","container-title":"Journal of Glaucoma","DOI":"10.1097/IJG.0000000000002535","ISSN":"1057-0829, 1536-481X","issue":"5","language":"en","page":"349-357","source":"DOI.org (Crossref)","title":"Comparison of Outcomes of Deep Sclerectomy, Canaloplasty, and Viscocanaloplasty: A Multicenter Study","title-short":"Comparison of Outcomes of Deep Sclerectomy, Canaloplasty, and Viscocanaloplasty","URL":"https://journals.lww.com/10.1097/IJG.0000000000002535","volume":"34","author":[{"family":"Mercieca","given":"Karl"},{"family":"Azzopardi","given":"Matthew"},{"family":"Vallabh","given":"Neeru A."},{"family":"Cristian","given":"Cristina"},{"family":"Prokosch","given":"Verena"},{"family":"Dubois","given":"Vincent"},{"family":"Hemmerdinger","given":"Christopher"},{"family":"De Cillà","given":"Stefano"},{"family":"Mathews","given":"Divya"},{"family":"Mermoud","given":"Andre"},{"family":"Grieshaber","given":"Matthias C."},{"family":"Mégevand","given":"Gordana Sunaric"},{"family":"Anand","given":"Nitin"},{"family":"Rabiolo","given":"Alessandro"}],"accessed":{"date-parts":[["2025",6,30]]},"issued":{"date-parts":[["2025",5]]},"citation-key":"mercieca2025"}}],"schema":"https://github.com/citation-style-language/schema/raw/master/csl-citation.json"} </w:instrText>
      </w:r>
      <w:r w:rsidR="00F967DF">
        <w:rPr>
          <w:lang w:val="nb-NO"/>
        </w:rPr>
        <w:fldChar w:fldCharType="separate"/>
      </w:r>
      <w:r w:rsidR="00F967DF">
        <w:rPr>
          <w:noProof/>
          <w:lang w:val="nb-NO"/>
        </w:rPr>
        <w:t>(Mercieca et al., 2025)</w:t>
      </w:r>
      <w:r w:rsidR="00F967DF">
        <w:rPr>
          <w:lang w:val="nb-NO"/>
        </w:rPr>
        <w:fldChar w:fldCharType="end"/>
      </w:r>
    </w:p>
    <w:p w14:paraId="6FCCE4DE" w14:textId="2E7BCC2C" w:rsidR="00CD7EBB" w:rsidRPr="00DA25A0" w:rsidRDefault="00CD7EBB" w:rsidP="009948CA">
      <w:pPr>
        <w:pStyle w:val="Caption"/>
        <w:ind w:left="0"/>
        <w:jc w:val="center"/>
        <w:rPr>
          <w:lang w:val="nb-NO"/>
        </w:rPr>
      </w:pPr>
      <w:r w:rsidRPr="00DA25A0">
        <w:rPr>
          <w:lang w:val="nb-NO"/>
        </w:rPr>
        <w:t>[6]</w:t>
      </w:r>
      <w:r w:rsidR="00474CCC" w:rsidRPr="00DA25A0">
        <w:rPr>
          <w:lang w:val="nb-NO"/>
        </w:rPr>
        <w:t xml:space="preserve"> </w:t>
      </w:r>
      <w:r w:rsidR="00F967DF">
        <w:rPr>
          <w:lang w:val="nb-NO"/>
        </w:rPr>
        <w:fldChar w:fldCharType="begin"/>
      </w:r>
      <w:r w:rsidR="00C140F1">
        <w:rPr>
          <w:lang w:val="nb-NO"/>
        </w:rPr>
        <w:instrText xml:space="preserve"> ADDIN ZOTERO_ITEM CSL_CITATION {"citationID":"cRiXUPJX","properties":{"formattedCitation":"(Grieshaber et al., 2010)","plainCitation":"(Grieshaber et al., 2010)","noteIndex":0},"citationItems":[{"id":824,"uris":["http://zotero.org/users/15573016/items/BN4DFXEL"],"itemData":{"id":824,"type":"article-journal","abstract":"BACKGROUND/AIMS: To study the safety and effectiveness of 360° viscodilation and tensioning of Schlemm canal (canaloplasty) in black African patients with primary open-angle glaucoma (POAG).\nMETHODS: Sixty randomly selected eyes of 60 consecutive patients with POAG were included in this prospective study. Canaloplasty comprised 360° catheterisation of Schlemm's canal by means of a flexible microcatheter with distension of the canal by a tensioning 10-0 polypropylene suture.\nRESULTS: The mean preoperative intraocular pressure pressure (IOP) was 45.0 ± 12.1 mm Hg. The mean follow-up time was 30.6 ± 8.4 months. The mean IOP at 12 months was 15.4 ± 5.2 mm Hg (n=54), at 24 months 16.3 ± 4.2 mm Hg (n = 51) and at 36 months 13.3 ± 1.7 mm Hg (n=49). For IOP ≤ 21 mm Hg, complete success rate was 77.5% and qualified success rate was 81.6% at 36 months. Cox regression analysis showed that preoperative IOP (HR = 1.003, 95% CI = 0.927 to 1.085; p = 0.94), age (HR = 1.000, CI = 0.938 to 1.067; p = 0.98) and sex (HR = 3.005, CI=0.329 to 27.448; p=0.33) were all not significant predictors of IOP reduction to ≤ 21 mm Hg. Complication rate was low (Descemet's detachment n=2, elevated IOP n = 1, false passage of the catheter n = 2).\nCONCLUSION: Canaloplasty produced a sustained long-term reduction of IOP in black Africans with POAG independent of preoperative IOP. As a bleb-independent procedure, canaloplasty may be a true alternative to classic filtering surgery, in particular in patients with enhanced wound healing and scar formation.","container-title":"The British Journal of Ophthalmology","DOI":"10.1136/bjo.2009.163170","ISSN":"1468-2079","issue":"11","journalAbbreviation":"Br J Ophthalmol","language":"eng","note":"PMID: 20962352","page":"1478-1482","source":"PubMed","title":"Canaloplasty for primary open-angle glaucoma: long-term outcome","title-short":"Canaloplasty for primary open-angle glaucoma","volume":"94","author":[{"family":"Grieshaber","given":"Matthias C."},{"family":"Pienaar","given":"Ané"},{"family":"Olivier","given":"Jan"},{"family":"Stegmann","given":"Robert"}],"issued":{"date-parts":[["2010",11]]},"citation-key":"grieshaber2010"}}],"schema":"https://github.com/citation-style-language/schema/raw/master/csl-citation.json"} </w:instrText>
      </w:r>
      <w:r w:rsidR="00F967DF">
        <w:rPr>
          <w:lang w:val="nb-NO"/>
        </w:rPr>
        <w:fldChar w:fldCharType="separate"/>
      </w:r>
      <w:r w:rsidR="00F967DF">
        <w:rPr>
          <w:noProof/>
          <w:lang w:val="nb-NO"/>
        </w:rPr>
        <w:t>(Grieshaber et al., 2010)</w:t>
      </w:r>
      <w:r w:rsidR="00F967DF">
        <w:rPr>
          <w:lang w:val="nb-NO"/>
        </w:rPr>
        <w:fldChar w:fldCharType="end"/>
      </w:r>
    </w:p>
    <w:p w14:paraId="2740E23D" w14:textId="77777777" w:rsidR="00474CCC" w:rsidRPr="009176CB" w:rsidRDefault="00474CCC" w:rsidP="001D4978">
      <w:pPr>
        <w:jc w:val="center"/>
        <w:rPr>
          <w:lang w:val="nb-NO"/>
        </w:rPr>
        <w:sectPr w:rsidR="00474CCC" w:rsidRPr="009176CB" w:rsidSect="00474CCC">
          <w:type w:val="continuous"/>
          <w:pgSz w:w="16834" w:h="11909" w:orient="landscape"/>
          <w:pgMar w:top="1134" w:right="1134" w:bottom="1701" w:left="1134" w:header="1134" w:footer="1134" w:gutter="0"/>
          <w:cols w:num="3" w:space="720"/>
          <w:titlePg/>
          <w:docGrid w:linePitch="326"/>
        </w:sectPr>
      </w:pPr>
    </w:p>
    <w:p w14:paraId="38701808" w14:textId="77777777" w:rsidR="00A46067" w:rsidRDefault="00A46067" w:rsidP="00110647">
      <w:pPr>
        <w:rPr>
          <w:lang w:val="nb-NO"/>
        </w:rPr>
      </w:pPr>
    </w:p>
    <w:p w14:paraId="28CEC516" w14:textId="77777777" w:rsidR="004146FC" w:rsidRDefault="004146FC" w:rsidP="00110647">
      <w:pPr>
        <w:rPr>
          <w:lang w:val="nb-NO"/>
        </w:rPr>
      </w:pPr>
    </w:p>
    <w:p w14:paraId="7FA2D9F5" w14:textId="77777777" w:rsidR="004146FC" w:rsidRDefault="004146FC" w:rsidP="00110647">
      <w:pPr>
        <w:rPr>
          <w:lang w:val="nb-NO"/>
        </w:rPr>
      </w:pPr>
    </w:p>
    <w:p w14:paraId="2C5125FF" w14:textId="77777777" w:rsidR="004146FC" w:rsidRPr="009176CB" w:rsidRDefault="004146FC" w:rsidP="00110647">
      <w:pPr>
        <w:rPr>
          <w:lang w:val="nb-NO"/>
        </w:rPr>
      </w:pPr>
    </w:p>
    <w:p w14:paraId="08DBC65D" w14:textId="7DF4F4FA" w:rsidR="00F967DF" w:rsidRPr="009176CB" w:rsidRDefault="00C04E2A" w:rsidP="009948CA">
      <w:pPr>
        <w:keepNext/>
        <w:jc w:val="center"/>
        <w:rPr>
          <w:lang w:val="nb-NO"/>
        </w:rPr>
      </w:pPr>
      <w:r>
        <w:rPr>
          <w:noProof/>
          <w:lang w:val="nb-NO"/>
        </w:rPr>
      </w:r>
      <w:r w:rsidR="00C04E2A">
        <w:rPr>
          <w:noProof/>
          <w:lang w:val="nb-NO"/>
        </w:rPr>
        <w:object w:dxaOrig="18540" w:dyaOrig="6100" w14:anchorId="593E52EA">
          <v:shape id="_x0000_i1106" type="#_x0000_t75" alt="" style="width:662.55pt;height:217.6pt;mso-width-percent:0;mso-height-percent:0;mso-width-percent:0;mso-height-percent:0" o:ole="">
            <v:imagedata r:id="rId16" o:title=""/>
          </v:shape>
          <o:OLEObject Type="Embed" ProgID="Excel.Sheet.12" ShapeID="_x0000_i1106" DrawAspect="Content" ObjectID="_1823795816" r:id="rId17"/>
        </w:object>
      </w:r>
    </w:p>
    <w:p w14:paraId="7E340BA7" w14:textId="51020C60" w:rsidR="00A46067" w:rsidRPr="00627201" w:rsidRDefault="00A46067" w:rsidP="009948CA">
      <w:pPr>
        <w:pStyle w:val="Caption"/>
        <w:ind w:left="0"/>
        <w:jc w:val="center"/>
      </w:pPr>
      <w:bookmarkStart w:id="60" w:name="_Toc212650671"/>
      <w:bookmarkStart w:id="61" w:name="_Ref213182293"/>
      <w:r w:rsidRPr="00627201">
        <w:t xml:space="preserve">Table </w:t>
      </w:r>
      <w:r>
        <w:fldChar w:fldCharType="begin"/>
      </w:r>
      <w:r w:rsidRPr="00627201">
        <w:instrText xml:space="preserve"> SEQ Table \* ARABIC </w:instrText>
      </w:r>
      <w:r>
        <w:fldChar w:fldCharType="separate"/>
      </w:r>
      <w:r w:rsidR="00B037C9">
        <w:rPr>
          <w:noProof/>
        </w:rPr>
        <w:t>4</w:t>
      </w:r>
      <w:r>
        <w:rPr>
          <w:noProof/>
        </w:rPr>
        <w:fldChar w:fldCharType="end"/>
      </w:r>
      <w:bookmarkEnd w:id="61"/>
      <w:r w:rsidRPr="00627201">
        <w:t xml:space="preserve"> - </w:t>
      </w:r>
      <w:r w:rsidRPr="00627201">
        <w:rPr>
          <w:b/>
          <w:bCs/>
        </w:rPr>
        <w:t>Postoperative Complications after Minimally Invasive Glaucoma Surgeries</w:t>
      </w:r>
      <w:bookmarkEnd w:id="60"/>
    </w:p>
    <w:p w14:paraId="7F3401AB" w14:textId="77777777" w:rsidR="00474CCC" w:rsidRPr="00627201" w:rsidRDefault="00474CCC" w:rsidP="009948CA">
      <w:pPr>
        <w:pStyle w:val="Caption"/>
        <w:ind w:left="0"/>
        <w:jc w:val="center"/>
        <w:sectPr w:rsidR="00474CCC" w:rsidRPr="00627201" w:rsidSect="000C6153">
          <w:type w:val="continuous"/>
          <w:pgSz w:w="16834" w:h="11909" w:orient="landscape"/>
          <w:pgMar w:top="1134" w:right="1134" w:bottom="1701" w:left="1134" w:header="1134" w:footer="1134" w:gutter="0"/>
          <w:cols w:space="720"/>
          <w:titlePg/>
          <w:docGrid w:linePitch="326"/>
        </w:sectPr>
      </w:pPr>
    </w:p>
    <w:p w14:paraId="5DC6D61F" w14:textId="3C733DC2" w:rsidR="00CD7EBB" w:rsidRPr="00774131" w:rsidRDefault="00CD7EBB" w:rsidP="009948CA">
      <w:pPr>
        <w:pStyle w:val="Caption"/>
        <w:ind w:left="0"/>
        <w:jc w:val="center"/>
      </w:pPr>
      <w:r w:rsidRPr="00294562">
        <w:t xml:space="preserve">[1] </w:t>
      </w:r>
      <w:r w:rsidR="00774131">
        <w:rPr>
          <w:lang w:val="nb-NO"/>
        </w:rPr>
        <w:fldChar w:fldCharType="begin"/>
      </w:r>
      <w:r w:rsidR="00C140F1">
        <w:instrText xml:space="preserve"> ADDIN ZOTERO_ITEM CSL_CITATION {"citationID":"NssIeNKS","properties":{"formattedCitation":"(Jab\\uc0\\u322{}o\\uc0\\u324{}ska et al., 2023)","plainCitation":"(Jabłońska et al., 2023)","noteIndex":0},"citationItems":[{"id":1185,"uris":["http://zotero.org/users/15573016/items/P8HUGL63"],"itemData":{"id":1185,"type":"article-journal","abstract":"The paper presents the results of a 24-month-long observation comparing the effectiveness and safety of two micro-invasive glaucoma surgery (MIGS) devices: Hydrus Microstent and iStent Trabecular Bypass in combination with cataract phacoemulsification in the treatment of open-angle glaucoma. We also analyzed the impact of preoperative factors on achieving surgical success in both surgical methods. The prospective, comparative, non-randomized study included 65 glaucoma surgeries. In 35 patients (53.8%), an iStent implant procedure was performed, while 30 patients (46.2%) underwent a Hydrus implant procedure. The demographic data was similar in both treatment groups. At 24 months after surgery, the mean IOP in the iStent group was 15.9 ± 3.0 mmHg and in the Hydrus group 16.2 ± 1.8 mmHg. The difference between the mean iStent vs Hydrus after two years of treatment was −0.3 (p = 0.683). At the 24 month follow-up, the average change in the number of antiglaucoma medications used was 71.7% in the iStent group and 79.6% in the Hydrus group. The difference in mean percentage change between groups was 7.9% in favor of Hydrus. Patients under the age of 70 may benefit from a greater risk reduction in the Hydrus group (HR = 0.81), while those over the age of 70 may benefit from a risk reduction in the iStent group (HR = 1.33). IOP cases with &gt;18 mmHg before the surgery have a better chance of surgical success with the Hydrus method (HR = 0.28), and with IOP &lt; 18 mmHg in the iStent group (HR = 1.93). Cases with more drugs (≥3 drugs) are more favorable in the Hydrus group (HR = 0.23), while those with a maximum of two drugs have a better prognosis in the iStent group (HR = 2.23). The most common postoperative complication was the presence of erythrocytes in the anterior chamber (AC), found in 40.0% of operated eyes in the Hydrus group. The profile of observed complications and significant improvement in visual acuity allows us to consider both implants as a safe way of treating patients with early or moderate glaucoma and co-existing cataracts.","container-title":"International Journal of Environmental Research and Public Health","DOI":"10.3390/ijerph20054152","ISSN":"1660-4601","issue":"5","journalAbbreviation":"IJERPH","language":"en","license":"https://creativecommons.org/licenses/by/4.0/","page":"4152","source":"DOI.org (Crossref)","title":"Comparison of Safety and Efficacy of Hydrus and iStent Combined with Phacoemulsyfication in Open Angle Glaucoma Patients: 24-Month Follow-Up","title-short":"Comparison of Safety and Efficacy of Hydrus and iStent Combined with Phacoemulsyfication in Open Angle Glaucoma Patients","URL":"https://www.mdpi.com/1660-4601/20/5/4152","volume":"20","author":[{"family":"Jabłońska","given":"Joanna"},{"family":"Lewczuk","given":"Katarzyna"},{"family":"Rękas","given":"Marek Tadeusz"}],"accessed":{"date-parts":[["2025",4,15]]},"issued":{"date-parts":[["2023",2,25]]},"citation-key":"jablonska2023a"}}],"schema":"https://github.com/citation-style-language/schema/raw/master/csl-citation.json"} </w:instrText>
      </w:r>
      <w:r w:rsidR="00774131">
        <w:rPr>
          <w:lang w:val="nb-NO"/>
        </w:rPr>
        <w:fldChar w:fldCharType="separate"/>
      </w:r>
      <w:r w:rsidR="00774131" w:rsidRPr="00774131">
        <w:rPr>
          <w:color w:val="000000"/>
        </w:rPr>
        <w:t>(Jabłońska et al., 2023)</w:t>
      </w:r>
      <w:r w:rsidR="00774131">
        <w:rPr>
          <w:lang w:val="nb-NO"/>
        </w:rPr>
        <w:fldChar w:fldCharType="end"/>
      </w:r>
    </w:p>
    <w:p w14:paraId="30114DF6" w14:textId="113AE74B" w:rsidR="00CD7EBB" w:rsidRPr="00294562" w:rsidRDefault="00CD7EBB" w:rsidP="009948CA">
      <w:pPr>
        <w:pStyle w:val="Caption"/>
        <w:ind w:left="0"/>
        <w:jc w:val="center"/>
      </w:pPr>
      <w:r w:rsidRPr="00294562">
        <w:t>[2]</w:t>
      </w:r>
      <w:r w:rsidR="00474CCC" w:rsidRPr="00294562">
        <w:t xml:space="preserve"> </w:t>
      </w:r>
      <w:r w:rsidR="00774131">
        <w:fldChar w:fldCharType="begin"/>
      </w:r>
      <w:r w:rsidR="00C140F1">
        <w:instrText xml:space="preserve"> ADDIN ZOTERO_ITEM CSL_CITATION {"citationID":"cQAPJi2K","properties":{"formattedCitation":"(Le et al., 2019)","plainCitation":"(Le et al., 2019)","noteIndex":0},"citationItems":[{"id":2294,"uris":["http://zotero.org/users/15573016/items/P8RL46GB"],"itemData":{"id":2294,"type":"article-journal","container-title":"Cochrane Database of Systematic Reviews","DOI":"10.1002/14651858.CD012743.pub2","ISSN":"14651858","issue":"3","language":"en","source":"DOI.org (Crossref)","title":"Ab interno trabecular bypass surgery with iStent for open-angle glaucoma","URL":"https://doi.wiley.com/10.1002/14651858.CD012743.pub2","volume":"2019","author":[{"family":"Le","given":"Jimmy T"},{"family":"Bicket","given":"Amanda K"},{"family":"Wang","given":"Lin"},{"family":"Li","given":"Tianjing"}],"editor":[{"literal":"Cochrane Eyes and Vision Group"}],"accessed":{"date-parts":[["2025",10,29]]},"issued":{"date-parts":[["2019",3,28]]},"citation-key":"le2019c"}}],"schema":"https://github.com/citation-style-language/schema/raw/master/csl-citation.json"} </w:instrText>
      </w:r>
      <w:r w:rsidR="00774131">
        <w:fldChar w:fldCharType="separate"/>
      </w:r>
      <w:r w:rsidR="00774131" w:rsidRPr="00294562">
        <w:rPr>
          <w:noProof/>
        </w:rPr>
        <w:t>(Le et al., 2019)</w:t>
      </w:r>
      <w:r w:rsidR="00774131">
        <w:fldChar w:fldCharType="end"/>
      </w:r>
    </w:p>
    <w:p w14:paraId="22E8A305" w14:textId="785921FA" w:rsidR="00CD7EBB" w:rsidRPr="00774131" w:rsidRDefault="00CD7EBB" w:rsidP="009948CA">
      <w:pPr>
        <w:pStyle w:val="Caption"/>
        <w:ind w:left="0"/>
        <w:jc w:val="center"/>
        <w:rPr>
          <w:lang w:val="nb-NO"/>
        </w:rPr>
      </w:pPr>
      <w:r w:rsidRPr="00294562">
        <w:t>[3]</w:t>
      </w:r>
      <w:r w:rsidR="00474CCC" w:rsidRPr="00294562">
        <w:t xml:space="preserve"> </w:t>
      </w:r>
      <w:r w:rsidR="00774131">
        <w:fldChar w:fldCharType="begin"/>
      </w:r>
      <w:r w:rsidR="00C140F1">
        <w:instrText xml:space="preserve"> ADDIN ZOTERO_ITEM CSL_CITATION {"citationID":"3SkRuMuV","properties":{"formattedCitation":"(Samuelson et al., 2019)","plainCitation":"(Samuelson et al., 2019)","noteIndex":0},"citationItems":[{"id":1419,"uris":["http://zotero.org/users/15573016/items/4U5ZLYS3"],"itemData":{"id":1419,"type":"article-journal","abstract":"PURPOSE: Evaluate the safety and effectiveness of an ab interno implanted (iStent inject) Trabecular Micro-Bypass System (Glaukos Corporation, San Clemente, CA) in combination with cataract surgery in subjects with mild to moderate primary open-angle glaucoma (POAG).\nDESIGN: Prospective, randomized, single-masked, concurrently controlled, multicenter clinical trial.\nPARTICIPANTS: Eyes with mild to moderate POAG and preoperative intraocular pressure (IOP) ≤24 mmHg on 1 to 3 medications, unmedicated diurnal IOP (DIOP) 21 to 36 mmHg, and cataract requiring surgery.\nMETHODS: After uncomplicated cataract surgery, eyes were randomized 3:1 intraoperatively to ab interno implantation of iStent inject (Model G2-M-IS; treatment group, n = 387) or no stent implantation (control group, n = 118). Subjects were followed through 2 years postoperatively. Annual washout of ocular hypotensive medication was performed.\nMAIN OUTCOME MEASURES: Effectiveness end points were ≥20% reduction from baseline in month 24 unmedicated DIOP and change in unmedicated month 24 DIOP from baseline. Safety measures included best spectacle-corrected visual acuity (BSCVA), slit-lamp and fundus examinations, gonioscopy, pachymetry, specular microscopy, visual fields, complications, and adverse events.\nRESULTS: The groups were well balanced preoperatively, including medicated IOP (17.5 mmHg in both groups) and unmedicated DIOP (24.8±3.3 mmHg vs. 24.5±3.1 mmHg in the treatment and control groups, respectively, P = 0.33). At 24 months, 75.8% of treatment eyes versus 61.9% of control eyes experienced ≥20% reduction from baseline in unmedicated DIOP (P = 0.005), and mean reduction in unmedicated DIOP from baseline was greater in treatment eyes (7.0±4.0 mmHg) than in control eyes (5.4±3.7 mmHg; P &lt; 0.001). Of the responders, 84% of treatment eyes and 67% of control eyes were not receiving ocular hypotensive medication at 23 months. Furthermore, 63.2% of treatment eyes versus 50.0% of control eyes had month 24 medication-free DIOP ≤18 mmHg (difference 13.2%; 95% confidence interval, 2.9-23.4). The overall safety profile of the treatment group was favorable and similar to that in the control group throughout the 2-year follow-up.\nCONCLUSIONS: Clinically and statistically greater reductions in IOP without medication were achieved after iStent inject implantation with cataract surgery versus cataract surgery alone, with excellent safety through 2 years.","container-title":"Ophthalmology","DOI":"10.1016/j.ophtha.2019.03.006","ISSN":"1549-4713","issue":"6","journalAbbreviation":"Ophthalmology","language":"eng","note":"PMID: 30880108","page":"811-821","source":"PubMed","title":"Prospective, Randomized, Controlled Pivotal Trial of an Ab Interno Implanted Trabecular Micro-Bypass in Primary Open-Angle Glaucoma and Cataract: Two-Year Results","title-short":"Prospective, Randomized, Controlled Pivotal Trial of an Ab Interno Implanted Trabecular Micro-Bypass in Primary Open-Angle Glaucoma and Cataract","volume":"126","author":[{"family":"Samuelson","given":"Thomas W."},{"family":"Sarkisian","given":"Steven R."},{"family":"Lubeck","given":"David M."},{"family":"Stiles","given":"Michael C."},{"family":"Duh","given":"Yi-Jing"},{"family":"Romo","given":"Eeke A."},{"family":"Giamporcaro","given":"Jane Ellen"},{"family":"Hornbeak","given":"Dana M."},{"family":"Katz","given":"L. Jay"},{"literal":"iStent inject Study Group"}],"issued":{"date-parts":[["2019",6]]},"citation-key":"samuelson2019"}}],"schema":"https://github.com/citation-style-language/schema/raw/master/csl-citation.json"} </w:instrText>
      </w:r>
      <w:r w:rsidR="00774131">
        <w:fldChar w:fldCharType="separate"/>
      </w:r>
      <w:r w:rsidR="00774131" w:rsidRPr="00774131">
        <w:rPr>
          <w:noProof/>
          <w:lang w:val="nb-NO"/>
        </w:rPr>
        <w:t>(Samuelson et al., 2019)</w:t>
      </w:r>
      <w:r w:rsidR="00774131">
        <w:fldChar w:fldCharType="end"/>
      </w:r>
    </w:p>
    <w:p w14:paraId="51C2C9B0" w14:textId="5373888B" w:rsidR="00CD7EBB" w:rsidRPr="00774131" w:rsidRDefault="00CD7EBB" w:rsidP="009948CA">
      <w:pPr>
        <w:pStyle w:val="Caption"/>
        <w:ind w:left="0"/>
        <w:jc w:val="center"/>
        <w:rPr>
          <w:lang w:val="nb-NO"/>
        </w:rPr>
      </w:pPr>
      <w:r w:rsidRPr="00774131">
        <w:rPr>
          <w:lang w:val="nb-NO"/>
        </w:rPr>
        <w:t>[4]</w:t>
      </w:r>
      <w:r w:rsidR="00474CCC" w:rsidRPr="00774131">
        <w:rPr>
          <w:lang w:val="nb-NO"/>
        </w:rPr>
        <w:t xml:space="preserve"> </w:t>
      </w:r>
      <w:r w:rsidR="00774131">
        <w:fldChar w:fldCharType="begin"/>
      </w:r>
      <w:r w:rsidR="00C140F1">
        <w:rPr>
          <w:lang w:val="nb-NO"/>
        </w:rPr>
        <w:instrText xml:space="preserve"> ADDIN ZOTERO_ITEM CSL_CITATION {"citationID":"tr0I9G0l","properties":{"formattedCitation":"(Yook et al., 2018)","plainCitation":"(Yook et al., 2018)","noteIndex":0},"citationItems":[{"id":1647,"uris":["http://zotero.org/users/15573016/items/DR9XITUM"],"itemData":{"id":1647,"type":"article-journal","container-title":"Current Opinion in Ophthalmology","DOI":"10.1097/ICU.0000000000000457","ISSN":"1040-8738","issue":"2","language":"en","page":"147-154","source":"DOI.org (Crossref)","title":"Complications of micro-invasive glaucoma surgery","URL":"https://journals.lww.com/00055735-201803000-00008","volume":"29","author":[{"family":"Yook","given":"Eunmee"},{"family":"Vinod","given":"Kateki"},{"family":"Panarelli","given":"Joseph F."}],"accessed":{"date-parts":[["2025",6,30]]},"issued":{"date-parts":[["2018",3]]},"citation-key":"yook2018"}}],"schema":"https://github.com/citation-style-language/schema/raw/master/csl-citation.json"} </w:instrText>
      </w:r>
      <w:r w:rsidR="00774131">
        <w:fldChar w:fldCharType="separate"/>
      </w:r>
      <w:r w:rsidR="00627201">
        <w:rPr>
          <w:noProof/>
          <w:lang w:val="nb-NO"/>
        </w:rPr>
        <w:t>(Yook et al., 2018)</w:t>
      </w:r>
      <w:r w:rsidR="00774131">
        <w:fldChar w:fldCharType="end"/>
      </w:r>
    </w:p>
    <w:p w14:paraId="38C03ABB" w14:textId="07DB2EA3" w:rsidR="00CD7EBB" w:rsidRPr="00774131" w:rsidRDefault="00CD7EBB" w:rsidP="009948CA">
      <w:pPr>
        <w:pStyle w:val="Caption"/>
        <w:ind w:left="0"/>
        <w:jc w:val="center"/>
        <w:rPr>
          <w:lang w:val="nb-NO"/>
        </w:rPr>
      </w:pPr>
      <w:r w:rsidRPr="00774131">
        <w:rPr>
          <w:lang w:val="nb-NO"/>
        </w:rPr>
        <w:t>[5]</w:t>
      </w:r>
      <w:r w:rsidR="00474CCC" w:rsidRPr="00774131">
        <w:rPr>
          <w:lang w:val="nb-NO"/>
        </w:rPr>
        <w:t xml:space="preserve"> </w:t>
      </w:r>
      <w:r w:rsidR="00627201">
        <w:rPr>
          <w:lang w:val="nb-NO"/>
        </w:rPr>
        <w:fldChar w:fldCharType="begin"/>
      </w:r>
      <w:r w:rsidR="00C140F1">
        <w:rPr>
          <w:lang w:val="nb-NO"/>
        </w:rPr>
        <w:instrText xml:space="preserve"> ADDIN ZOTERO_ITEM CSL_CITATION {"citationID":"YZ6JOGPb","properties":{"formattedCitation":"(Otarola et al., 2020)","plainCitation":"(Otarola et al., 2020)","noteIndex":0},"citationItems":[{"id":2293,"uris":["http://zotero.org/users/15573016/items/E4YJK9RF"],"itemData":{"id":2293,"type":"article-journal","container-title":"Cochrane Database of Systematic Reviews","DOI":"10.1002/14651858.CD012740.pub2","ISSN":"14651858","issue":"3","language":"en","source":"DOI.org (Crossref)","title":"Ab interno trabecular bypass surgery with Schlemm´s canal microstent (Hydrus) for open angle glaucoma","URL":"http://doi.wiley.com/10.1002/14651858.CD012740.pub2","volume":"2020","author":[{"family":"Otarola","given":"Francisco"},{"family":"Virgili","given":"Gianni"},{"family":"Shah","given":"Anupa"},{"family":"Hu","given":"Kuang"},{"family":"Bunce","given":"Catey"},{"family":"Gazzard","given":"Gus"}],"editor":[{"literal":"Cochrane Eyes and Vision Group"}],"accessed":{"date-parts":[["2025",10,29]]},"issued":{"date-parts":[["2020",3,9]]},"citation-key":"otarola2020c"}}],"schema":"https://github.com/citation-style-language/schema/raw/master/csl-citation.json"} </w:instrText>
      </w:r>
      <w:r w:rsidR="00627201">
        <w:rPr>
          <w:lang w:val="nb-NO"/>
        </w:rPr>
        <w:fldChar w:fldCharType="separate"/>
      </w:r>
      <w:r w:rsidR="00627201">
        <w:rPr>
          <w:noProof/>
          <w:lang w:val="nb-NO"/>
        </w:rPr>
        <w:t>(Otarola et al., 2020)</w:t>
      </w:r>
      <w:r w:rsidR="00627201">
        <w:rPr>
          <w:lang w:val="nb-NO"/>
        </w:rPr>
        <w:fldChar w:fldCharType="end"/>
      </w:r>
    </w:p>
    <w:p w14:paraId="4199F0F3" w14:textId="3829DCFE" w:rsidR="00CD7EBB" w:rsidRPr="00774131" w:rsidRDefault="00CD7EBB" w:rsidP="009948CA">
      <w:pPr>
        <w:pStyle w:val="Caption"/>
        <w:ind w:left="0"/>
        <w:jc w:val="center"/>
        <w:rPr>
          <w:lang w:val="nb-NO"/>
        </w:rPr>
      </w:pPr>
      <w:r w:rsidRPr="00774131">
        <w:rPr>
          <w:lang w:val="nb-NO"/>
        </w:rPr>
        <w:t>[6]</w:t>
      </w:r>
      <w:r w:rsidR="00474CCC" w:rsidRPr="00774131">
        <w:rPr>
          <w:lang w:val="nb-NO"/>
        </w:rPr>
        <w:t xml:space="preserve"> </w:t>
      </w:r>
      <w:r w:rsidR="00627201">
        <w:rPr>
          <w:lang w:val="nb-NO"/>
        </w:rPr>
        <w:fldChar w:fldCharType="begin"/>
      </w:r>
      <w:r w:rsidR="00C140F1">
        <w:rPr>
          <w:lang w:val="nb-NO"/>
        </w:rPr>
        <w:instrText xml:space="preserve"> ADDIN ZOTERO_ITEM CSL_CITATION {"citationID":"HAkamHsu","properties":{"formattedCitation":"(Hu et al., 2021)","plainCitation":"(Hu et al., 2021)","noteIndex":0},"citationItems":[{"id":2292,"uris":["http://zotero.org/users/15573016/items/3U3YE73R"],"itemData":{"id":2292,"type":"article-journal","container-title":"Cochrane Database of Systematic Reviews","DOI":"10.1002/14651858.CD011693.pub3","ISSN":"14651858","issue":"2","language":"en","source":"DOI.org (Crossref)","title":"Ab interno trabecular bypass surgery with Trabectome for open-angle glaucoma","URL":"http://doi.wiley.com/10.1002/14651858.CD011693.pub3","volume":"2021","editor":[{"literal":"Cochrane Eyes and Vision Group"}],"author":[{"family":"Hu","given":"Kuang"},{"family":"Shah","given":"Anupa"},{"family":"Virgili","given":"Gianni"},{"family":"Bunce","given":"Catey"},{"family":"Gazzard","given":"Gus"}],"accessed":{"date-parts":[["2025",10,29]]},"issued":{"date-parts":[["2021",2,4]]},"citation-key":"hu2021b"}}],"schema":"https://github.com/citation-style-language/schema/raw/master/csl-citation.json"} </w:instrText>
      </w:r>
      <w:r w:rsidR="00627201">
        <w:rPr>
          <w:lang w:val="nb-NO"/>
        </w:rPr>
        <w:fldChar w:fldCharType="separate"/>
      </w:r>
      <w:r w:rsidR="00627201">
        <w:rPr>
          <w:noProof/>
          <w:lang w:val="nb-NO"/>
        </w:rPr>
        <w:t>(Hu et al., 2021)</w:t>
      </w:r>
      <w:r w:rsidR="00627201">
        <w:rPr>
          <w:lang w:val="nb-NO"/>
        </w:rPr>
        <w:fldChar w:fldCharType="end"/>
      </w:r>
    </w:p>
    <w:p w14:paraId="49BD6C06" w14:textId="49891D9D" w:rsidR="00CD7EBB" w:rsidRPr="00774131" w:rsidRDefault="00CD7EBB" w:rsidP="009948CA">
      <w:pPr>
        <w:pStyle w:val="Caption"/>
        <w:ind w:left="0"/>
        <w:jc w:val="center"/>
        <w:rPr>
          <w:lang w:val="nb-NO"/>
        </w:rPr>
      </w:pPr>
      <w:r w:rsidRPr="00774131">
        <w:rPr>
          <w:lang w:val="nb-NO"/>
        </w:rPr>
        <w:t>[7]</w:t>
      </w:r>
      <w:r w:rsidR="00474CCC" w:rsidRPr="00774131">
        <w:rPr>
          <w:lang w:val="nb-NO"/>
        </w:rPr>
        <w:t xml:space="preserve"> </w:t>
      </w:r>
      <w:r w:rsidR="00627201">
        <w:rPr>
          <w:lang w:val="nb-NO"/>
        </w:rPr>
        <w:fldChar w:fldCharType="begin"/>
      </w:r>
      <w:r w:rsidR="00C140F1">
        <w:rPr>
          <w:lang w:val="nb-NO"/>
        </w:rPr>
        <w:instrText xml:space="preserve"> ADDIN ZOTERO_ITEM CSL_CITATION {"citationID":"izLPeqfv","properties":{"formattedCitation":"(Weber et al., 2023)","plainCitation":"(Weber et al., 2023)","noteIndex":0},"citationItems":[{"id":1696,"uris":["http://zotero.org/users/15573016/items/G7P9JJYL"],"itemData":{"id":1696,"type":"article-journal","abstract":"Précis:\n              This retrospective study of 264 eyes having inferior quadrant trabectome surgery confirms its safety and relative effectiveness. Most patients however still require IOP-lowering agents, and a considerable proportion may need additional glaucoma surgery.\n            \n            \n              Purpose:\n              To report outcomes from a large single-center cohort of inferiorly-applied trabectome surgery.\n            \n            \n              Patients and Methods:\n              Retrospective review of patients undergoing trabectome surgery for chronic open angle glaucoma (COAG) at the University Eye Clinic Bonn, Germany, from 2012 to 2020.\n            \n            \n              Results:\n              Two hundred sixty-four eyes of 206 patients with COAG were included. The mean review period was 45.43 (range 12–101) months. One hundred five eyes (39.8%) underwent standalone surgery, of which 74 were pseudophakic and 31 phakic. The mean preoperative IOP was 17.58 mm Hg (range 12–50 mm Hg). One hundred five eyes (39.8%) developed a ‘failure event’ according to pre-defined criteria at a mean interval of 14.8 months postoperative. In absolute terms, 211 patients (79.9%) had a long-term IOP &gt;14 mm Hg at 7.6 months, 174 patients (65.9%) &gt;16 mm Hg at 10.6 months, 127 patients (48.1%) &gt;18 mm Hg at 10.9 months, and 77 patients (29.2%) &gt;21 mm Hg at 11.1 months. Over a five-year period, overall mean IOP remained stable at 13 mm Hg. The majority of patients were still on glaucoma drops (the mean number reduced from 2.9 to 2.7 agents). Subgroup analyses showed that a higher preoperative IOP was a positive predictor for failure, whereas combined surgery (with phaco) had better IOP outcomes (16.5 mm Hg vs. 19.3 mm Hg, respectively). Forty-one patients (15.5%) developed minor complications: 22 had high postoperative IOP within 3 months, 11 developed a self-resorbing hyphema, and 6 had fibrinous uveitis.\n            \n            \n              Conclusions:\n              Trabectome surgery is a safe and relatively effective procedure for lowering IOP, but most patients still need IOP-lowering agents, and a considerable proportion may need additional glaucoma surgery within a relatively short time. Inferior quadrant treatment may result in inferior IOP outcomes when compared with nasal quadrant surgery.","container-title":"Journal of Glaucoma","DOI":"10.1097/IJG.0000000000002164","ISSN":"1057-0829","issue":"6","language":"en","page":"480-488","source":"DOI.org (Crossref)","title":"Five-Year Clinical Outcomes of Inferior Quadrant Trabectome Surgery for Open Angle Glaucoma","URL":"https://journals.lww.com/10.1097/IJG.0000000000002164","volume":"32","author":[{"family":"Weber","given":"Constance"},{"family":"Ludwig","given":"Elisabeth"},{"family":"Hundertmark","given":"Sarah"},{"family":"Brinkmann","given":"Christian Karl"},{"family":"Petrak","given":"Michael"},{"family":"Holz","given":"Frank G."},{"family":"Mercieca","given":"Karl"}],"accessed":{"date-parts":[["2025",7,1]]},"issued":{"date-parts":[["2023",6]]},"citation-key":"weber2023"}}],"schema":"https://github.com/citation-style-language/schema/raw/master/csl-citation.json"} </w:instrText>
      </w:r>
      <w:r w:rsidR="00627201">
        <w:rPr>
          <w:lang w:val="nb-NO"/>
        </w:rPr>
        <w:fldChar w:fldCharType="separate"/>
      </w:r>
      <w:r w:rsidR="00627201">
        <w:rPr>
          <w:noProof/>
          <w:lang w:val="nb-NO"/>
        </w:rPr>
        <w:t>(Weber et al., 2023)</w:t>
      </w:r>
      <w:r w:rsidR="00627201">
        <w:rPr>
          <w:lang w:val="nb-NO"/>
        </w:rPr>
        <w:fldChar w:fldCharType="end"/>
      </w:r>
    </w:p>
    <w:p w14:paraId="587BF792" w14:textId="0BCB5263" w:rsidR="00627201" w:rsidRPr="001E4BC8" w:rsidRDefault="00CD7EBB" w:rsidP="009948CA">
      <w:pPr>
        <w:pStyle w:val="Caption"/>
        <w:ind w:left="0"/>
        <w:jc w:val="center"/>
        <w:rPr>
          <w:lang w:val="nb-NO"/>
        </w:rPr>
      </w:pPr>
      <w:r w:rsidRPr="00774131">
        <w:rPr>
          <w:lang w:val="nb-NO"/>
        </w:rPr>
        <w:t>[8]</w:t>
      </w:r>
      <w:r w:rsidR="00474CCC" w:rsidRPr="00774131">
        <w:rPr>
          <w:lang w:val="nb-NO"/>
        </w:rPr>
        <w:t xml:space="preserve"> </w:t>
      </w:r>
      <w:r w:rsidR="00627201">
        <w:rPr>
          <w:lang w:val="nb-NO"/>
        </w:rPr>
        <w:fldChar w:fldCharType="begin"/>
      </w:r>
      <w:r w:rsidR="00C140F1">
        <w:rPr>
          <w:lang w:val="nb-NO"/>
        </w:rPr>
        <w:instrText xml:space="preserve"> ADDIN ZOTERO_ITEM CSL_CITATION {"citationID":"p9B0v6r3","properties":{"formattedCitation":"(Grover et al., 2014)","plainCitation":"(Grover et al., 2014)","noteIndex":0},"citationItems":[{"id":1834,"uris":["http://zotero.org/users/15573016/items/IXUCR934"],"itemData":{"id":1834,"type":"article-journal","container-title":"Ophthalmology","DOI":"10.1016/j.ophtha.2013.11.001","ISSN":"01616420","issue":"4","journalAbbreviation":"Ophthalmology","language":"en","license":"https://www.elsevier.com/tdm/userlicense/1.0/","page":"855-861","source":"DOI.org (Crossref)","title":"Gonioscopy-Assisted Transluminal Trabeculotomy, Ab Interno Trabeculotomy","URL":"https://linkinghub.elsevier.com/retrieve/pii/S0161642013010592","volume":"121","author":[{"family":"Grover","given":"Davinder S."},{"family":"Godfrey","given":"David G."},{"family":"Smith","given":"Oluwatosin"},{"family":"Feuer","given":"William J."},{"family":"Montes De Oca","given":"Ildamaris"},{"family":"Fellman","given":"Ronald L."}],"accessed":{"date-parts":[["2025",7,1]]},"issued":{"date-parts":[["2014",4]]},"citation-key":"grover2014a"}}],"schema":"https://github.com/citation-style-language/schema/raw/master/csl-citation.json"} </w:instrText>
      </w:r>
      <w:r w:rsidR="00627201">
        <w:rPr>
          <w:lang w:val="nb-NO"/>
        </w:rPr>
        <w:fldChar w:fldCharType="separate"/>
      </w:r>
      <w:r w:rsidR="00627201">
        <w:rPr>
          <w:noProof/>
          <w:lang w:val="nb-NO"/>
        </w:rPr>
        <w:t>(Grover et al., 2014)</w:t>
      </w:r>
      <w:r w:rsidR="00627201">
        <w:rPr>
          <w:lang w:val="nb-NO"/>
        </w:rPr>
        <w:fldChar w:fldCharType="end"/>
      </w:r>
    </w:p>
    <w:p w14:paraId="0B3CC4CA" w14:textId="77777777" w:rsidR="004146FC" w:rsidRPr="001E4BC8" w:rsidRDefault="004146FC" w:rsidP="001D4978">
      <w:pPr>
        <w:jc w:val="center"/>
        <w:rPr>
          <w:lang w:val="nb-NO"/>
        </w:rPr>
        <w:sectPr w:rsidR="004146FC" w:rsidRPr="001E4BC8" w:rsidSect="004146FC">
          <w:type w:val="continuous"/>
          <w:pgSz w:w="16834" w:h="11909" w:orient="landscape"/>
          <w:pgMar w:top="1134" w:right="1134" w:bottom="1701" w:left="1134" w:header="1134" w:footer="1134" w:gutter="0"/>
          <w:cols w:num="3" w:space="720"/>
          <w:titlePg/>
          <w:docGrid w:linePitch="326"/>
        </w:sectPr>
      </w:pPr>
    </w:p>
    <w:p w14:paraId="14E1862B" w14:textId="74E27633" w:rsidR="00627201" w:rsidRPr="001E4BC8" w:rsidRDefault="00627201" w:rsidP="00627201">
      <w:pPr>
        <w:rPr>
          <w:lang w:val="nb-NO"/>
        </w:rPr>
      </w:pPr>
    </w:p>
    <w:p w14:paraId="0D5A9A28" w14:textId="77777777" w:rsidR="001D4978" w:rsidRPr="001E4BC8" w:rsidRDefault="001D4978" w:rsidP="00627201">
      <w:pPr>
        <w:rPr>
          <w:lang w:val="nb-NO"/>
        </w:rPr>
      </w:pPr>
    </w:p>
    <w:p w14:paraId="7F071C27" w14:textId="77777777" w:rsidR="001D4978" w:rsidRPr="001E4BC8" w:rsidRDefault="001D4978" w:rsidP="00627201">
      <w:pPr>
        <w:rPr>
          <w:lang w:val="nb-NO"/>
        </w:rPr>
      </w:pPr>
    </w:p>
    <w:p w14:paraId="1A75E298" w14:textId="77777777" w:rsidR="001D4978" w:rsidRPr="001E4BC8" w:rsidRDefault="001D4978" w:rsidP="00627201">
      <w:pPr>
        <w:rPr>
          <w:lang w:val="nb-NO"/>
        </w:rPr>
      </w:pPr>
    </w:p>
    <w:p w14:paraId="27B4A0A8" w14:textId="77777777" w:rsidR="001D4978" w:rsidRPr="001E4BC8" w:rsidRDefault="001D4978" w:rsidP="00627201">
      <w:pPr>
        <w:rPr>
          <w:lang w:val="nb-NO"/>
        </w:rPr>
      </w:pPr>
    </w:p>
    <w:p w14:paraId="169FBB95" w14:textId="77777777" w:rsidR="001D4978" w:rsidRPr="001E4BC8" w:rsidRDefault="001D4978" w:rsidP="00627201">
      <w:pPr>
        <w:rPr>
          <w:lang w:val="nb-NO"/>
        </w:rPr>
      </w:pPr>
    </w:p>
    <w:p w14:paraId="043D6E04" w14:textId="34177371" w:rsidR="00B1525F" w:rsidRPr="001E4BC8" w:rsidRDefault="00C04E2A" w:rsidP="001D4978">
      <w:pPr>
        <w:jc w:val="center"/>
        <w:rPr>
          <w:lang w:val="nb-NO"/>
        </w:rPr>
      </w:pPr>
      <w:r>
        <w:rPr>
          <w:noProof/>
        </w:rPr>
      </w:r>
      <w:r w:rsidR="00C04E2A">
        <w:rPr>
          <w:noProof/>
        </w:rPr>
        <w:object w:dxaOrig="11120" w:dyaOrig="8480" w14:anchorId="4786E636">
          <v:shape id="_x0000_i1105" type="#_x0000_t75" alt="" style="width:409.35pt;height:311.45pt;mso-width-percent:0;mso-height-percent:0;mso-width-percent:0;mso-height-percent:0" o:ole="">
            <v:imagedata r:id="rId18" o:title=""/>
          </v:shape>
          <o:OLEObject Type="Embed" ProgID="Excel.Sheet.12" ShapeID="_x0000_i1105" DrawAspect="Content" ObjectID="_1823795817" r:id="rId19"/>
        </w:object>
      </w:r>
    </w:p>
    <w:p w14:paraId="4E066ED0" w14:textId="331A283E" w:rsidR="00A46067" w:rsidRPr="001E4BC8" w:rsidRDefault="00627201" w:rsidP="009948CA">
      <w:pPr>
        <w:pStyle w:val="Caption"/>
        <w:ind w:left="0"/>
        <w:jc w:val="center"/>
        <w:rPr>
          <w:lang w:val="nb-NO"/>
        </w:rPr>
      </w:pPr>
      <w:bookmarkStart w:id="62" w:name="_Toc212650672"/>
      <w:bookmarkStart w:id="63" w:name="_Ref213182354"/>
      <w:proofErr w:type="spellStart"/>
      <w:r w:rsidRPr="001E4BC8">
        <w:rPr>
          <w:lang w:val="nb-NO"/>
        </w:rPr>
        <w:t>Table</w:t>
      </w:r>
      <w:proofErr w:type="spellEnd"/>
      <w:r w:rsidRPr="001E4BC8">
        <w:rPr>
          <w:lang w:val="nb-NO"/>
        </w:rPr>
        <w:t xml:space="preserve"> </w:t>
      </w:r>
      <w:r w:rsidR="00B037C9">
        <w:fldChar w:fldCharType="begin"/>
      </w:r>
      <w:r w:rsidR="00B037C9" w:rsidRPr="001E4BC8">
        <w:rPr>
          <w:lang w:val="nb-NO"/>
        </w:rPr>
        <w:instrText xml:space="preserve"> SEQ Table \* ARABIC </w:instrText>
      </w:r>
      <w:r w:rsidR="00B037C9">
        <w:fldChar w:fldCharType="separate"/>
      </w:r>
      <w:r w:rsidR="00B037C9" w:rsidRPr="001E4BC8">
        <w:rPr>
          <w:noProof/>
          <w:lang w:val="nb-NO"/>
        </w:rPr>
        <w:t>5</w:t>
      </w:r>
      <w:r w:rsidR="00B037C9">
        <w:rPr>
          <w:noProof/>
        </w:rPr>
        <w:fldChar w:fldCharType="end"/>
      </w:r>
      <w:bookmarkEnd w:id="63"/>
      <w:r w:rsidRPr="001E4BC8">
        <w:rPr>
          <w:lang w:val="nb-NO"/>
        </w:rPr>
        <w:t xml:space="preserve"> -</w:t>
      </w:r>
      <w:r w:rsidR="008F39D1" w:rsidRPr="001E4BC8">
        <w:rPr>
          <w:lang w:val="nb-NO"/>
        </w:rPr>
        <w:t xml:space="preserve"> </w:t>
      </w:r>
      <w:r w:rsidR="00A46067" w:rsidRPr="001E4BC8">
        <w:rPr>
          <w:b/>
          <w:bCs/>
          <w:lang w:val="nb-NO"/>
        </w:rPr>
        <w:t xml:space="preserve">Postoperative </w:t>
      </w:r>
      <w:proofErr w:type="spellStart"/>
      <w:r w:rsidR="00A46067" w:rsidRPr="001E4BC8">
        <w:rPr>
          <w:b/>
          <w:bCs/>
          <w:lang w:val="nb-NO"/>
        </w:rPr>
        <w:t xml:space="preserve">Complications after </w:t>
      </w:r>
      <w:proofErr w:type="spellEnd"/>
      <w:r w:rsidR="00142C9C" w:rsidRPr="001E4BC8">
        <w:rPr>
          <w:rStyle w:val="Strong"/>
          <w:color w:val="0E101A"/>
          <w:lang w:val="nb-NO"/>
        </w:rPr>
        <w:t>Micro-</w:t>
      </w:r>
      <w:proofErr w:type="spellStart"/>
      <w:r w:rsidR="00142C9C" w:rsidRPr="001E4BC8">
        <w:rPr>
          <w:rStyle w:val="Strong"/>
          <w:color w:val="0E101A"/>
          <w:lang w:val="nb-NO"/>
        </w:rPr>
        <w:t>Invasive</w:t>
      </w:r>
      <w:proofErr w:type="spellEnd"/>
      <w:r w:rsidR="00142C9C" w:rsidRPr="001E4BC8">
        <w:rPr>
          <w:rStyle w:val="Strong"/>
          <w:color w:val="0E101A"/>
          <w:lang w:val="nb-NO"/>
        </w:rPr>
        <w:t xml:space="preserve"> </w:t>
      </w:r>
      <w:proofErr w:type="spellStart"/>
      <w:r w:rsidR="00142C9C" w:rsidRPr="001E4BC8">
        <w:rPr>
          <w:rStyle w:val="Strong"/>
          <w:color w:val="0E101A"/>
          <w:lang w:val="nb-NO"/>
        </w:rPr>
        <w:t>Filtration</w:t>
      </w:r>
      <w:proofErr w:type="spellEnd"/>
      <w:r w:rsidR="00142C9C" w:rsidRPr="001E4BC8">
        <w:rPr>
          <w:rStyle w:val="Strong"/>
          <w:color w:val="0E101A"/>
          <w:lang w:val="nb-NO"/>
        </w:rPr>
        <w:t xml:space="preserve"> </w:t>
      </w:r>
      <w:proofErr w:type="spellStart"/>
      <w:r w:rsidR="00A46067" w:rsidRPr="001E4BC8">
        <w:rPr>
          <w:b/>
          <w:bCs/>
          <w:lang w:val="nb-NO"/>
        </w:rPr>
        <w:t>Surgeries</w:t>
      </w:r>
      <w:bookmarkEnd w:id="62"/>
      <w:proofErr w:type="spellEnd"/>
    </w:p>
    <w:p w14:paraId="357C2175" w14:textId="77777777" w:rsidR="00474CCC" w:rsidRPr="001E4BC8" w:rsidRDefault="00474CCC" w:rsidP="009948CA">
      <w:pPr>
        <w:pStyle w:val="Caption"/>
        <w:ind w:left="0"/>
        <w:jc w:val="center"/>
        <w:rPr>
          <w:lang w:val="nb-NO"/>
        </w:rPr>
        <w:sectPr w:rsidR="00474CCC" w:rsidRPr="001E4BC8" w:rsidSect="000C6153">
          <w:type w:val="continuous"/>
          <w:pgSz w:w="16834" w:h="11909" w:orient="landscape"/>
          <w:pgMar w:top="1134" w:right="1134" w:bottom="1701" w:left="1134" w:header="1134" w:footer="1134" w:gutter="0"/>
          <w:cols w:space="720"/>
          <w:titlePg/>
          <w:docGrid w:linePitch="326"/>
        </w:sectPr>
      </w:pPr>
    </w:p>
    <w:p w14:paraId="0154BD66" w14:textId="522750D8" w:rsidR="00CD7EBB" w:rsidRPr="00774131" w:rsidRDefault="00CD7EBB" w:rsidP="009948CA">
      <w:pPr>
        <w:pStyle w:val="Caption"/>
        <w:ind w:left="0"/>
        <w:jc w:val="center"/>
        <w:rPr>
          <w:lang w:val="nb-NO"/>
        </w:rPr>
      </w:pPr>
      <w:r w:rsidRPr="00774131">
        <w:rPr>
          <w:lang w:val="nb-NO"/>
        </w:rPr>
        <w:t xml:space="preserve">[1] </w:t>
      </w:r>
      <w:r w:rsidR="00627201">
        <w:rPr>
          <w:lang w:val="nb-NO"/>
        </w:rPr>
        <w:fldChar w:fldCharType="begin"/>
      </w:r>
      <w:r w:rsidR="00C140F1">
        <w:rPr>
          <w:lang w:val="nb-NO"/>
        </w:rPr>
        <w:instrText xml:space="preserve"> ADDIN ZOTERO_ITEM CSL_CITATION {"citationID":"3sv4dFKx","properties":{"formattedCitation":"(Mieno et al., 2025)","plainCitation":"(Mieno et al., 2025)","noteIndex":0},"citationItems":[{"id":1627,"uris":["http://zotero.org/users/15573016/items/HAWPC9HP"],"itemData":{"id":1627,"type":"article-journal","container-title":"Scientific Reports","DOI":"10.1038/s41598-025-92879-9","ISSN":"2045-2322","issue":"1","journalAbbreviation":"Sci Rep","language":"en","page":"8344","source":"DOI.org (Crossref)","title":"Risk factors and protective strategies for hypotony following preserflo microshunt implantation","URL":"https://www.nature.com/articles/s41598-025-92879-9","volume":"15","author":[{"family":"Mieno","given":"Hiroki"},{"family":"Mori","given":"Kazuhiko"},{"family":"Yoshii","given":"Kengo"},{"family":"Okada","given":"Yo"},{"family":"Ikeda","given":"Yoko"},{"family":"Ueno","given":"Morio"},{"family":"Sotozono","given":"Chie"}],"accessed":{"date-parts":[["2025",6,30]]},"issued":{"date-parts":[["2025",3,11]]},"citation-key":"mieno2025a"}}],"schema":"https://github.com/citation-style-language/schema/raw/master/csl-citation.json"} </w:instrText>
      </w:r>
      <w:r w:rsidR="00627201">
        <w:rPr>
          <w:lang w:val="nb-NO"/>
        </w:rPr>
        <w:fldChar w:fldCharType="separate"/>
      </w:r>
      <w:r w:rsidR="00627201">
        <w:rPr>
          <w:noProof/>
          <w:lang w:val="nb-NO"/>
        </w:rPr>
        <w:t>(Mieno et al., 2025)</w:t>
      </w:r>
      <w:r w:rsidR="00627201">
        <w:rPr>
          <w:lang w:val="nb-NO"/>
        </w:rPr>
        <w:fldChar w:fldCharType="end"/>
      </w:r>
    </w:p>
    <w:p w14:paraId="2AF2AADA" w14:textId="1AF7018B" w:rsidR="00CD7EBB" w:rsidRPr="00774131" w:rsidRDefault="00CD7EBB" w:rsidP="009948CA">
      <w:pPr>
        <w:pStyle w:val="Caption"/>
        <w:ind w:left="0"/>
        <w:jc w:val="center"/>
        <w:rPr>
          <w:lang w:val="nb-NO"/>
        </w:rPr>
      </w:pPr>
      <w:r w:rsidRPr="00774131">
        <w:rPr>
          <w:lang w:val="nb-NO"/>
        </w:rPr>
        <w:t>[2]</w:t>
      </w:r>
      <w:r w:rsidR="00474CCC" w:rsidRPr="00774131">
        <w:rPr>
          <w:lang w:val="nb-NO"/>
        </w:rPr>
        <w:t xml:space="preserve"> </w:t>
      </w:r>
      <w:r w:rsidR="00627201">
        <w:rPr>
          <w:lang w:val="nb-NO"/>
        </w:rPr>
        <w:fldChar w:fldCharType="begin"/>
      </w:r>
      <w:r w:rsidR="00C140F1">
        <w:rPr>
          <w:lang w:val="nb-NO"/>
        </w:rPr>
        <w:instrText xml:space="preserve"> ADDIN ZOTERO_ITEM CSL_CITATION {"citationID":"qqJX9Mpq","properties":{"formattedCitation":"(Tanner et al., 2023)","plainCitation":"(Tanner et al., 2023)","noteIndex":0},"citationItems":[{"id":1630,"uris":["http://zotero.org/users/15573016/items/GHMAGJ86"],"itemData":{"id":1630,"type":"article-journal","abstract":"Background/aims\n              To evaluate the efficacy and safety of the PreserFlo MicroShunt glaucoma device in a multicentre cohort study.\n            \n            \n              Methods\n              All consecutive patients who received the microshunt with mitomycin-C (MMC) 0.4 mg/mL from May 2019 to September 2020 in three UK tertiary centres. Primary outcome at 1 year was a complete success, with failure defined as intraocular pressure (IOP) &gt;21 mmHg or &lt;20% reduction, IOP≤5 mmHg with any decreased vision on two consecutive visits, reoperation or loss of light perception vision. Secondary outcomes were IOP, best-corrected visual acuity, medications, complications, interventions and reoperations. We also performed subgroup analyses for severe glaucoma and assessed risk factors for failure.\n            \n            \n              Results\n              104 eyes had 1-year follow-up. Complete and qualified success at 1 year were achieved in 51.9% (N=54) and 16.4% (N=17), respectively, and failure occurred in 31.7% (N=33). There was a significant reduction in IOP (mmHg) from preoperatively (23.4±0.8, N=104) to 12 months (14.7±0.6, N=104) (p&lt;0.0001). Antiglaucoma medications also decreased from preoperatively (3.4±0.1, N=104) to 12 months (0.7±0.1, N=104) (p&lt;0.0001). Multivariate analyses showed an association between higher mean deviation and failure (HR 1.055, 95% CI 1.0075 to 1.11, p=0.0227). Complications were hypotony (19.2%; N=20), choroidal detachments (10.6%; N=11), hyphaema (5.8%; N=6) and bleb leak (5.8%; N=6). Needling and 5-fluorouracil injections were performed in 12.5% (N=13) and 33.7% (N=35), respectively, and 11.5% (N=12) required revision surgery.\n            \n            \n              Conclusion\n              The PreserFlo MicroShunt with MMC 0.4 mg/mL showed an overall success rate of 68.3% at 1 year, and led to significant IOP and medication reduction with a low rate of adverse effects.","container-title":"British Journal of Ophthalmology","DOI":"10.1136/bjophthalmol-2021-320631","ISSN":"0007-1161, 1468-2079","issue":"8","journalAbbreviation":"Br J Ophthalmol","language":"en","page":"1104-1111","source":"DOI.org (Crossref)","title":"One-year surgical outcomes of the PreserFlo MicroShunt in glaucoma: a multicentre analysis","title-short":"One-year surgical outcomes of the PreserFlo MicroShunt in glaucoma","URL":"https://bjo.bmj.com/lookup/doi/10.1136/bjophthalmol-2021-320631","volume":"107","author":[{"family":"Tanner","given":"Alexander"},{"family":"Haddad","given":"Fadi"},{"family":"Fajardo-Sanchez","given":"Julia"},{"family":"Nguyen","given":"Ethan"},{"family":"Thong","given":"Kai Xin"},{"family":"Ah-Moye","given":"Sarah"},{"family":"Perl","given":"Nicole"},{"family":"Abu-Bakra","given":"Mohammed"},{"family":"Kulkarni","given":"Avinash"},{"family":"Trikha","given":"Sameer"},{"family":"Lascaratos","given":"Gerassimos"},{"family":"Parnell","given":"Miles"},{"family":"Kailani","given":"Obeda"},{"family":"King","given":"Anthony J"},{"family":"Agrawal","given":"Pavi"},{"family":"Stead","given":"Richard"},{"family":"Giannouladis","given":"Konstantinos"},{"family":"Rodrigues","given":"Ian"},{"family":"Goyal","given":"Saurabh"},{"family":"Hysi","given":"Pirro G"},{"family":"Lim","given":"Sheng"},{"family":"Yu-Wai-Man","given":"Cynthia"}],"accessed":{"date-parts":[["2025",6,30]]},"issued":{"date-parts":[["2023",8]]},"citation-key":"tanner2023"}}],"schema":"https://github.com/citation-style-language/schema/raw/master/csl-citation.json"} </w:instrText>
      </w:r>
      <w:r w:rsidR="00627201">
        <w:rPr>
          <w:lang w:val="nb-NO"/>
        </w:rPr>
        <w:fldChar w:fldCharType="separate"/>
      </w:r>
      <w:r w:rsidR="00B037C9">
        <w:rPr>
          <w:noProof/>
          <w:lang w:val="nb-NO"/>
        </w:rPr>
        <w:t>(Tanner et al., 2023)</w:t>
      </w:r>
      <w:r w:rsidR="00627201">
        <w:rPr>
          <w:lang w:val="nb-NO"/>
        </w:rPr>
        <w:fldChar w:fldCharType="end"/>
      </w:r>
    </w:p>
    <w:p w14:paraId="3A913AE6" w14:textId="3C59494A" w:rsidR="00CD7EBB" w:rsidRPr="00774131" w:rsidRDefault="00CD7EBB" w:rsidP="009948CA">
      <w:pPr>
        <w:pStyle w:val="Caption"/>
        <w:ind w:left="0"/>
        <w:jc w:val="center"/>
        <w:rPr>
          <w:lang w:val="nb-NO"/>
        </w:rPr>
      </w:pPr>
      <w:r w:rsidRPr="00774131">
        <w:rPr>
          <w:lang w:val="nb-NO"/>
        </w:rPr>
        <w:t>[3]</w:t>
      </w:r>
      <w:r w:rsidR="00474CCC" w:rsidRPr="00774131">
        <w:rPr>
          <w:lang w:val="nb-NO"/>
        </w:rPr>
        <w:t xml:space="preserve"> </w:t>
      </w:r>
      <w:r w:rsidR="00B037C9">
        <w:rPr>
          <w:lang w:val="nb-NO"/>
        </w:rPr>
        <w:fldChar w:fldCharType="begin"/>
      </w:r>
      <w:r w:rsidR="00C140F1">
        <w:rPr>
          <w:lang w:val="nb-NO"/>
        </w:rPr>
        <w:instrText xml:space="preserve"> ADDIN ZOTERO_ITEM CSL_CITATION {"citationID":"zKZRcsUl","properties":{"formattedCitation":"(Park et al., 2023)","plainCitation":"(Park et al., 2023)","noteIndex":0},"citationItems":[{"id":1970,"uris":["http://zotero.org/users/15573016/items/GSJQVYT7"],"itemData":{"id":1970,"type":"article-journal","container-title":"Cochrane Database of Systematic Reviews","DOI":"10.1002/14651858.CD010472.pub3","ISSN":"14651858","issue":"3","language":"en","source":"DOI.org (Crossref)","title":"Device-modified trabeculectomy for glaucoma","URL":"http://doi.wiley.com/10.1002/14651858.CD010472.pub3","volume":"2023","editor":[{"literal":"Cochrane Eyes and Vision Group"}],"author":[{"family":"Park","given":"Junghyun"},{"family":"Rittiphairoj","given":"Thanitsara"},{"family":"Wang","given":"Xue"},{"family":"E","given":"Jian-Yu"},{"family":"Bicket","given":"Amanda K"}],"accessed":{"date-parts":[["2025",7,6]]},"issued":{"date-parts":[["2023",3,13]]},"citation-key":"park2023"}}],"schema":"https://github.com/citation-style-language/schema/raw/master/csl-citation.json"} </w:instrText>
      </w:r>
      <w:r w:rsidR="00B037C9">
        <w:rPr>
          <w:lang w:val="nb-NO"/>
        </w:rPr>
        <w:fldChar w:fldCharType="separate"/>
      </w:r>
      <w:r w:rsidR="00B037C9">
        <w:rPr>
          <w:noProof/>
          <w:lang w:val="nb-NO"/>
        </w:rPr>
        <w:t>(Park et al., 2023)</w:t>
      </w:r>
      <w:r w:rsidR="00B037C9">
        <w:rPr>
          <w:lang w:val="nb-NO"/>
        </w:rPr>
        <w:fldChar w:fldCharType="end"/>
      </w:r>
    </w:p>
    <w:p w14:paraId="708D5664" w14:textId="1FCFCB09" w:rsidR="00CD7EBB" w:rsidRPr="00774131" w:rsidRDefault="00CD7EBB" w:rsidP="009948CA">
      <w:pPr>
        <w:pStyle w:val="Caption"/>
        <w:ind w:left="0"/>
        <w:jc w:val="center"/>
        <w:rPr>
          <w:lang w:val="nb-NO"/>
        </w:rPr>
      </w:pPr>
      <w:r w:rsidRPr="00774131">
        <w:rPr>
          <w:lang w:val="nb-NO"/>
        </w:rPr>
        <w:t>[4]</w:t>
      </w:r>
      <w:r w:rsidR="00474CCC" w:rsidRPr="00774131">
        <w:rPr>
          <w:lang w:val="nb-NO"/>
        </w:rPr>
        <w:t xml:space="preserve"> </w:t>
      </w:r>
      <w:r w:rsidR="00B037C9">
        <w:rPr>
          <w:lang w:val="nb-NO"/>
        </w:rPr>
        <w:fldChar w:fldCharType="begin"/>
      </w:r>
      <w:r w:rsidR="00C140F1">
        <w:rPr>
          <w:lang w:val="nb-NO"/>
        </w:rPr>
        <w:instrText xml:space="preserve"> ADDIN ZOTERO_ITEM CSL_CITATION {"citationID":"gNnxX1DI","properties":{"formattedCitation":"(Governatori et al., 2025)","plainCitation":"(Governatori et al., 2025)","noteIndex":0},"citationItems":[{"id":1971,"uris":["http://zotero.org/users/15573016/items/JXIQBE9S"],"itemData":{"id":1971,"type":"article-journal","container-title":"Graefe's Archive for Clinical and Experimental Ophthalmology","DOI":"10.1007/s00417-024-06649-w","ISSN":"0721-832X, 1435-702X","issue":"4","journalAbbreviation":"Graefes Arch Clin Exp Ophthalmol","language":"en","page":"885-899","source":"DOI.org (Crossref)","title":"PreserFlo MicroShunt versus trabeculectomy: an updated meta-analysis and systematic review","title-short":"PreserFlo MicroShunt versus trabeculectomy","URL":"https://link.springer.com/10.1007/s00417-024-06649-w","volume":"263","author":[{"family":"Governatori","given":"Lorenzo"},{"family":"Oliverio","given":"Leandro"},{"family":"Mermoud","given":"André"},{"family":"Scampoli","given":"Alessandra"},{"family":"Sarati","given":"Federica"},{"family":"Carradori","given":"Andrea"},{"family":"Catalani","given":"Roberta"},{"family":"Monaco","given":"Carlo"},{"family":"Caporossi","given":"Tomaso"},{"family":"Rizzo","given":"Stanislao"}],"accessed":{"date-parts":[["2025",7,6]]},"issued":{"date-parts":[["2025",4]]},"citation-key":"governatori2025"}}],"schema":"https://github.com/citation-style-language/schema/raw/master/csl-citation.json"} </w:instrText>
      </w:r>
      <w:r w:rsidR="00B037C9">
        <w:rPr>
          <w:lang w:val="nb-NO"/>
        </w:rPr>
        <w:fldChar w:fldCharType="separate"/>
      </w:r>
      <w:r w:rsidR="00B037C9">
        <w:rPr>
          <w:noProof/>
          <w:lang w:val="nb-NO"/>
        </w:rPr>
        <w:t>(Governatori et al., 2025)</w:t>
      </w:r>
      <w:r w:rsidR="00B037C9">
        <w:rPr>
          <w:lang w:val="nb-NO"/>
        </w:rPr>
        <w:fldChar w:fldCharType="end"/>
      </w:r>
    </w:p>
    <w:p w14:paraId="793831C3" w14:textId="531E358D" w:rsidR="00CD7EBB" w:rsidRPr="00774131" w:rsidRDefault="00CD7EBB" w:rsidP="009948CA">
      <w:pPr>
        <w:pStyle w:val="Caption"/>
        <w:ind w:left="0"/>
        <w:jc w:val="center"/>
        <w:rPr>
          <w:lang w:val="nb-NO"/>
        </w:rPr>
      </w:pPr>
      <w:r w:rsidRPr="00774131">
        <w:rPr>
          <w:lang w:val="nb-NO"/>
        </w:rPr>
        <w:t>[5]</w:t>
      </w:r>
      <w:r w:rsidR="00474CCC" w:rsidRPr="00774131">
        <w:rPr>
          <w:lang w:val="nb-NO"/>
        </w:rPr>
        <w:t xml:space="preserve"> </w:t>
      </w:r>
      <w:r w:rsidR="00B037C9">
        <w:rPr>
          <w:lang w:val="nb-NO"/>
        </w:rPr>
        <w:fldChar w:fldCharType="begin"/>
      </w:r>
      <w:r w:rsidR="00C140F1">
        <w:rPr>
          <w:lang w:val="nb-NO"/>
        </w:rPr>
        <w:instrText xml:space="preserve"> ADDIN ZOTERO_ITEM CSL_CITATION {"citationID":"DS8sOy3x","properties":{"formattedCitation":"(Gan et al., 2024)","plainCitation":"(Gan et al., 2024)","noteIndex":0},"citationItems":[{"id":1635,"uris":["http://zotero.org/users/15573016/items/Z9HG3MJP"],"itemData":{"id":1635,"type":"article-journal","abstract":"Aim\n              This study was aimed to summarize the complications and their management associated with XEN gel stent implantation.\n            \n            \n              Methods\n              A systematic review of literature was conducted using Medline (via PubMed), EMBASE, the Cochrane Library databases, and China National Knowledge Infrastructure, from their inception to February 1, 2024.\n            \n            \n              Results\n              A total of 48 studies published between 2017 and 2024 were identified and included in the systematic review, including 16 original studies (retrospective or prospective clinical studies), 28 case reports, and 4 case series, which followed patients for up to 5 years. Early postoperative complications of XEN gel stent implantation include hypotony maculopathy (1.9–4.6%), occlusion (3.9–8.8%), suprachoroidal hemorrhage (SCH), choroidal detachment (0–15%), conjunctival erosion, and exposure of the XEN gel stent (1.1–2.3%), wound and bleb leaks (2.1%) and malignant glaucoma (MG) (2.2%). Mid-postoperative complications of XEN gel stent implantation included migration of XEN (1.5%), ptosis (1.2%), endophthalmitis (0.4–3%), macular edema (1.5–4.3%), hypertrophic bleb (8.8%) and subconjunctival XEN gel stent fragmentation (reported in 2 cases). Late postoperative complications reported in cases included spontaneous dislocation and intraocular degradation.\n            \n            \n              Conclusion\n              XEN gel stent implantation is a minimally invasive glaucoma surgery (MIGS) procedure for glaucoma, known for its potential to minimize tissue damage and reduce surgical duration. However, it is crucial to note that despite these advantages, there remains a risk of severe complications, including endophthalmitis, SCH, and MG. Therefore, postoperative follow-up and early recognition of severe complications are essential for surgical management.","container-title":"Frontiers in Medicine","DOI":"10.3389/fmed.2024.1360051","ISSN":"2296-858X","journalAbbreviation":"Front. Med.","page":"1360051","source":"DOI.org (Crossref)","title":"Complications of XEN gel stent implantation for the treatment of glaucoma: a systematic review","title-short":"Complications of XEN gel stent implantation for the treatment of glaucoma","URL":"https://www.frontiersin.org/articles/10.3389/fmed.2024.1360051/full","volume":"11","author":[{"family":"Gan","given":"Lu"},{"family":"Wang","given":"Lixiang"},{"family":"Chen","given":"Jun"},{"family":"Tang","given":"Li"}],"accessed":{"date-parts":[["2025",6,30]]},"issued":{"date-parts":[["2024",5,6]]},"citation-key":"gan2024b"}}],"schema":"https://github.com/citation-style-language/schema/raw/master/csl-citation.json"} </w:instrText>
      </w:r>
      <w:r w:rsidR="00B037C9">
        <w:rPr>
          <w:lang w:val="nb-NO"/>
        </w:rPr>
        <w:fldChar w:fldCharType="separate"/>
      </w:r>
      <w:r w:rsidR="00B037C9">
        <w:rPr>
          <w:noProof/>
          <w:lang w:val="nb-NO"/>
        </w:rPr>
        <w:t>(Gan et al., 2024)</w:t>
      </w:r>
      <w:r w:rsidR="00B037C9">
        <w:rPr>
          <w:lang w:val="nb-NO"/>
        </w:rPr>
        <w:fldChar w:fldCharType="end"/>
      </w:r>
    </w:p>
    <w:p w14:paraId="7BD9F45B" w14:textId="1963A351" w:rsidR="00CD7EBB" w:rsidRPr="00774131" w:rsidRDefault="00CD7EBB" w:rsidP="009948CA">
      <w:pPr>
        <w:pStyle w:val="Caption"/>
        <w:ind w:left="0"/>
        <w:jc w:val="center"/>
        <w:rPr>
          <w:lang w:val="nb-NO"/>
        </w:rPr>
      </w:pPr>
      <w:r w:rsidRPr="00774131">
        <w:rPr>
          <w:lang w:val="nb-NO"/>
        </w:rPr>
        <w:t>[6]</w:t>
      </w:r>
      <w:r w:rsidR="009176CB" w:rsidRPr="00774131">
        <w:rPr>
          <w:lang w:val="nb-NO"/>
        </w:rPr>
        <w:t xml:space="preserve"> </w:t>
      </w:r>
      <w:r w:rsidR="00B037C9">
        <w:rPr>
          <w:lang w:val="nb-NO"/>
        </w:rPr>
        <w:fldChar w:fldCharType="begin"/>
      </w:r>
      <w:r w:rsidR="00C140F1">
        <w:rPr>
          <w:lang w:val="nb-NO"/>
        </w:rPr>
        <w:instrText xml:space="preserve"> ADDIN ZOTERO_ITEM CSL_CITATION {"citationID":"Yr9Znlni","properties":{"formattedCitation":"(Scheres et al., 2021)","plainCitation":"(Scheres et al., 2021)","noteIndex":0},"citationItems":[{"id":1974,"uris":["http://zotero.org/users/15573016/items/KU5EPMK7"],"itemData":{"id":1974,"type":"article-journal","abstract":"Abstract\n            \n              Purpose\n              \n                To evaluate the long‐term efficacy and safety of two minimally invasive glaucoma surgery implants with a subconjunctival drainage approach: the XEN45 Gel Stent\n                ®\n                (Xen) implant and the PRESERFLO™ MicroShunt (MicroShunt).\n              \n            \n            \n              Methods\n              Retrospective comparative case series of primary open‐angle glaucoma (POAG) patients with at least 6 months of follow‐up after a MicroShunt or Xen implantation augmented with mitomycin C.\n            \n            \n              Results\n              \n                Forty‐one eyes of 31 patients underwent Xen implantation, and 41 eyes of 33 patients, MicroShunt implantation. Baseline characteristics were similar, except for more combined surgeries with phacoemulsification in the Xen group (37% vs. 2%). Mean baseline IOP ± standard deviation dropped from 19.2 ± 4.4 to 13.8 ± 3.8 mmHg (\n                n\n                 = 26) in the Xen group and from 20.1 ± 5.0 to 12.1 ± 3.5 (\n                n\n                 = 14) in the MicroShunt group at 24 months of follow‐up (p = 0.19, t‐test). The number of IOP‐lowering medications dropped from 2.5 ± 1.4 to 0.9 ± 1.2 in the Xen group and from 2.3 ± 1.5 to 0.7 ± 1.1 in the MicroShunt group. The probability of qualified success was 73% and 79% at 24 months of follow‐up for the Xen and MicroShunt groups, respectively. Postoperative complications were usually mild and self‐limiting. The number of bleb needling and secondary glaucoma surgery procedures was similar in both groups; however, in the Xen group more additional MicroPulse\n                ®\n                transscleral cyclophotocoagulation procedures were performed.\n              \n            \n            \n              Conclusion\n              Xen Gel Stent and PreserFlo MicroShunt implantations achieved comparable results in POAG eyes in terms of IOP‐lowering and surgical success, with a similar high safety profile.","container-title":"Acta Ophthalmologica","DOI":"10.1111/aos.14602","ISSN":"1755-375X, 1755-3768","issue":"3","journalAbbreviation":"Acta Ophthalmologica","language":"en","source":"DOI.org (Crossref)","title":"XEN&lt;sup&gt;®&lt;/sup&gt; Gel Stent compared to PRESERFLO™ MicroShunt implantation for primary open‐angle glaucoma: two‐year results","title-short":"XEN&lt;sup&gt;®&lt;/sup&gt; Gel Stent compared to PRESERFLO™ MicroShunt implantation for primary open‐angle glaucoma","URL":"https://onlinelibrary.wiley.com/doi/10.1111/aos.14602","volume":"99","author":[{"family":"Scheres","given":"Lotte M.J."},{"family":"Kujovic‐Aleksov","given":"Stefani"},{"family":"Ramdas","given":"Wishal D."},{"family":"De Crom","given":"Ronald M.P.C."},{"family":"Roelofs","given":"Lianne C.G."},{"family":"Berendschot","given":"Tos T.J.M."},{"family":"Webers","given":"Carroll A.B."},{"family":"Beckers","given":"Henny J.M."}],"accessed":{"date-parts":[["2025",7,6]]},"issued":{"date-parts":[["2021",5]]},"citation-key":"scheres2021"}}],"schema":"https://github.com/citation-style-language/schema/raw/master/csl-citation.json"} </w:instrText>
      </w:r>
      <w:r w:rsidR="00B037C9">
        <w:rPr>
          <w:lang w:val="nb-NO"/>
        </w:rPr>
        <w:fldChar w:fldCharType="separate"/>
      </w:r>
      <w:r w:rsidR="00B037C9">
        <w:rPr>
          <w:noProof/>
          <w:lang w:val="nb-NO"/>
        </w:rPr>
        <w:t>(Scheres et al., 2021)</w:t>
      </w:r>
      <w:r w:rsidR="00B037C9">
        <w:rPr>
          <w:lang w:val="nb-NO"/>
        </w:rPr>
        <w:fldChar w:fldCharType="end"/>
      </w:r>
    </w:p>
    <w:p w14:paraId="7036E457" w14:textId="77777777" w:rsidR="001D4978" w:rsidRDefault="001D4978" w:rsidP="00110647">
      <w:pPr>
        <w:rPr>
          <w:lang w:val="nb-NO"/>
        </w:rPr>
        <w:sectPr w:rsidR="001D4978" w:rsidSect="001D4978">
          <w:type w:val="continuous"/>
          <w:pgSz w:w="16834" w:h="11909" w:orient="landscape"/>
          <w:pgMar w:top="1134" w:right="1134" w:bottom="1701" w:left="1134" w:header="1134" w:footer="1134" w:gutter="0"/>
          <w:cols w:num="3" w:space="720"/>
          <w:titlePg/>
          <w:docGrid w:linePitch="326"/>
        </w:sectPr>
      </w:pPr>
    </w:p>
    <w:p w14:paraId="63CEE600" w14:textId="4B9E27AF" w:rsidR="00A46067" w:rsidRPr="00774131" w:rsidRDefault="00C04E2A" w:rsidP="001D4978">
      <w:pPr>
        <w:keepNext/>
        <w:jc w:val="center"/>
        <w:rPr>
          <w:lang w:val="nb-NO"/>
        </w:rPr>
      </w:pPr>
      <w:r>
        <w:rPr>
          <w:noProof/>
          <w:lang w:val="nb-NO"/>
        </w:rPr>
      </w:r>
      <w:r w:rsidR="00C04E2A">
        <w:rPr>
          <w:noProof/>
          <w:lang w:val="nb-NO"/>
        </w:rPr>
        <w:object w:dxaOrig="11100" w:dyaOrig="3600" w14:anchorId="40D9D41B">
          <v:shape id="_x0000_i1104" type="#_x0000_t75" alt="" style="width:554.15pt;height:180.4pt;mso-width-percent:0;mso-height-percent:0;mso-width-percent:0;mso-height-percent:0" o:ole="">
            <v:imagedata r:id="rId20" o:title=""/>
          </v:shape>
          <o:OLEObject Type="Embed" ProgID="Excel.Sheet.12" ShapeID="_x0000_i1104" DrawAspect="Content" ObjectID="_1823795818" r:id="rId21"/>
        </w:object>
      </w:r>
    </w:p>
    <w:p w14:paraId="384932BD" w14:textId="64893BAA" w:rsidR="00474CCC" w:rsidRPr="001E4BC8" w:rsidRDefault="00B037C9" w:rsidP="009948CA">
      <w:pPr>
        <w:pStyle w:val="Caption"/>
        <w:ind w:left="0"/>
        <w:jc w:val="center"/>
        <w:rPr>
          <w:lang w:val="nb-NO"/>
        </w:rPr>
        <w:sectPr w:rsidR="00474CCC" w:rsidRPr="001E4BC8" w:rsidSect="000C6153">
          <w:type w:val="continuous"/>
          <w:pgSz w:w="16834" w:h="11909" w:orient="landscape"/>
          <w:pgMar w:top="1134" w:right="1134" w:bottom="1701" w:left="1134" w:header="1134" w:footer="1134" w:gutter="0"/>
          <w:cols w:space="720"/>
          <w:titlePg/>
          <w:docGrid w:linePitch="326"/>
        </w:sectPr>
      </w:pPr>
      <w:bookmarkStart w:id="64" w:name="_Toc212650673"/>
      <w:bookmarkStart w:id="65" w:name="_Ref213182416"/>
      <w:proofErr w:type="spellStart"/>
      <w:r w:rsidRPr="001E4BC8">
        <w:rPr>
          <w:lang w:val="nb-NO"/>
        </w:rPr>
        <w:t>Table</w:t>
      </w:r>
      <w:proofErr w:type="spellEnd"/>
      <w:r w:rsidRPr="001E4BC8">
        <w:rPr>
          <w:lang w:val="nb-NO"/>
        </w:rPr>
        <w:t xml:space="preserve"> </w:t>
      </w:r>
      <w:r>
        <w:fldChar w:fldCharType="begin"/>
      </w:r>
      <w:r w:rsidRPr="001E4BC8">
        <w:rPr>
          <w:lang w:val="nb-NO"/>
        </w:rPr>
        <w:instrText xml:space="preserve"> SEQ Table \* ARABIC </w:instrText>
      </w:r>
      <w:r>
        <w:fldChar w:fldCharType="separate"/>
      </w:r>
      <w:r w:rsidRPr="001E4BC8">
        <w:rPr>
          <w:noProof/>
          <w:lang w:val="nb-NO"/>
        </w:rPr>
        <w:t>6</w:t>
      </w:r>
      <w:r>
        <w:rPr>
          <w:noProof/>
        </w:rPr>
        <w:fldChar w:fldCharType="end"/>
      </w:r>
      <w:bookmarkEnd w:id="65"/>
      <w:r w:rsidRPr="001E4BC8">
        <w:rPr>
          <w:lang w:val="nb-NO"/>
        </w:rPr>
        <w:t xml:space="preserve"> - </w:t>
      </w:r>
      <w:r w:rsidRPr="001E4BC8">
        <w:rPr>
          <w:b/>
          <w:bCs/>
          <w:lang w:val="nb-NO"/>
        </w:rPr>
        <w:t xml:space="preserve">Postoperative </w:t>
      </w:r>
      <w:proofErr w:type="spellStart"/>
      <w:r w:rsidRPr="001E4BC8">
        <w:rPr>
          <w:b/>
          <w:bCs/>
          <w:lang w:val="nb-NO"/>
        </w:rPr>
        <w:t>Complications</w:t>
      </w:r>
      <w:proofErr w:type="spellEnd"/>
      <w:r w:rsidRPr="001E4BC8">
        <w:rPr>
          <w:b/>
          <w:bCs/>
          <w:lang w:val="nb-NO"/>
        </w:rPr>
        <w:t xml:space="preserve"> </w:t>
      </w:r>
      <w:proofErr w:type="spellStart"/>
      <w:r w:rsidRPr="001E4BC8">
        <w:rPr>
          <w:b/>
          <w:bCs/>
          <w:lang w:val="nb-NO"/>
        </w:rPr>
        <w:t>after</w:t>
      </w:r>
      <w:proofErr w:type="spellEnd"/>
      <w:r w:rsidRPr="001E4BC8">
        <w:rPr>
          <w:b/>
          <w:bCs/>
          <w:lang w:val="nb-NO"/>
        </w:rPr>
        <w:t xml:space="preserve"> </w:t>
      </w:r>
      <w:proofErr w:type="spellStart"/>
      <w:r w:rsidRPr="001E4BC8">
        <w:rPr>
          <w:b/>
          <w:bCs/>
          <w:lang w:val="nb-NO"/>
        </w:rPr>
        <w:t>Cyclodestructive</w:t>
      </w:r>
      <w:proofErr w:type="spellEnd"/>
      <w:r w:rsidRPr="001E4BC8">
        <w:rPr>
          <w:b/>
          <w:bCs/>
          <w:lang w:val="nb-NO"/>
        </w:rPr>
        <w:t xml:space="preserve"> </w:t>
      </w:r>
      <w:proofErr w:type="spellStart"/>
      <w:r w:rsidRPr="001E4BC8">
        <w:rPr>
          <w:b/>
          <w:bCs/>
          <w:lang w:val="nb-NO"/>
        </w:rPr>
        <w:t>Surgeries</w:t>
      </w:r>
      <w:bookmarkEnd w:id="64"/>
      <w:proofErr w:type="spellEnd"/>
    </w:p>
    <w:p w14:paraId="236E2E6C" w14:textId="0BD1F7AB" w:rsidR="001D4978" w:rsidRDefault="00CD7EBB" w:rsidP="009948CA">
      <w:pPr>
        <w:pStyle w:val="Caption"/>
        <w:ind w:left="0"/>
        <w:jc w:val="center"/>
        <w:rPr>
          <w:lang w:val="nb-NO"/>
        </w:rPr>
      </w:pPr>
      <w:r w:rsidRPr="001E4BC8">
        <w:rPr>
          <w:lang w:val="nb-NO"/>
        </w:rPr>
        <w:t>[1]</w:t>
      </w:r>
      <w:r w:rsidR="009176CB" w:rsidRPr="001E4BC8">
        <w:rPr>
          <w:lang w:val="nb-NO"/>
        </w:rPr>
        <w:t xml:space="preserve"> </w:t>
      </w:r>
      <w:r w:rsidR="00E41FB2">
        <w:rPr>
          <w:lang w:val="nb-NO"/>
        </w:rPr>
        <w:fldChar w:fldCharType="begin"/>
      </w:r>
      <w:r w:rsidR="00C140F1">
        <w:rPr>
          <w:lang w:val="nb-NO"/>
        </w:rPr>
        <w:instrText xml:space="preserve"> ADDIN ZOTERO_ITEM CSL_CITATION {"citationID":"9wK1FRku","properties":{"formattedCitation":"(Souissi et al., 2021)","plainCitation":"(Souissi et al., 2021)","noteIndex":0},"citationItems":[{"id":1714,"uris":["http://zotero.org/users/15573016/items/PM3EIRD7"],"itemData":{"id":1714,"type":"article-journal","abstract":"Abstract\n            \n              Purpose\n              Continuous‐wave cyclophotocoagulation (CW‐CPC) is often preferred to medical and surgical treatments for managing refractory glaucoma. This review summarizes diode CW‐CPC indications, history, histopathology, methods, efficacy and safety. It also provides an overview of the latest data available on micropulse transscleral laser treatment (MP‐TLT) that uses repetitive micropulses of diode laser energy in an off‐and‐on cyclical fashion.\n            \n            \n              Methods\n              A literature review was conducted on transscleral CW‐CPC (CW‐TSCPC), endoscopic CPC (ECP) and MP‐TLT. Relevant series of adult and paediatric patients were included for assessing the procedures.\n            \n            \n              Results\n              Regarding CW‐TCPC, highly variable success rates are reported in the literature, depending on the definition of success, type of underlying glaucoma, energy settings, follow‐up duration and retreatment rates. CW‐CPC often needs to be repeated, especially in paediatric patients. CW‐CPC exposes to risks of inflammation and chronic ocular hypotony or phthisis with irreversible visual loss. CW‐TSCPC has mainly been used in very severe forms of glaucoma, in painful eyes with limited visual potential or after filtering surgery failure. Published data on ECP are more limited but overall good success rates have been reported. Through the direct visualization of the targeted ciliary body in anatomically abnormal eyes, ECP is the preferred surgical procedure in paediatric refractory glaucoma. Complication rates are relatively low after ECP; however, large studies with long‐term follow‐up are needed. ECP may be used in difficult, refractory cases, but it is often used earlier when combined with cataract surgery. Despite limited data on the exact mechanism of action of MP‐TLT and a lack of standardization of laser settings, the first data from heterogeneous case series shows that it has a similar efficacy and a better safety profile compared to CW‐TSCPC in the medium term.\n            \n            \n              Conclusion\n              Although they may lead to sight‐threatening complications, both CW‐TSCPC and ECP seem effective. ECP appears to be superior to CW‐TSCPC in paediatric refractory glaucoma. Unlike ECP combined with cataract surgery, evidence supporting a wider use of CW‐TSCPC and MP‐TLT in earlier stages of neuropathy is lacking. While it now appears that the safety profile of MP‐TLT is superior to that of CW‐CPC, robust prospective comparative studies including homogeneous and well‐defined cohorts of patients are still needed to confirm an at least comparable efficacy in the long term.","container-title":"Acta Ophthalmologica","DOI":"10.1111/aos.14661","ISSN":"1755-375X, 1755-3768","issue":"5","journalAbbreviation":"Acta Ophthalmologica","language":"en","source":"DOI.org (Crossref)","title":"An update on continuous‐wave cyclophotocoagulation (CW‐CPC) and micropulse transscleral laser treatment (MP‐TLT) for adult and paediatric refractory glaucoma","URL":"https://onlinelibrary.wiley.com/doi/10.1111/aos.14661","volume":"99","author":[{"family":"Souissi","given":"Soufiane"},{"family":"Le Mer","given":"Yannick"},{"family":"Metge","given":"Florence"},{"family":"Portmann","given":"Alexandre"},{"family":"Baudouin","given":"Christophe"},{"family":"Labbé","given":"Antoine"},{"family":"Hamard","given":"Pascale"}],"accessed":{"date-parts":[["2025",7,1]]},"issued":{"date-parts":[["2021",8]]},"citation-key":"souissi2021"}}],"schema":"https://github.com/citation-style-language/schema/raw/master/csl-citation.json"} </w:instrText>
      </w:r>
      <w:r w:rsidR="00E41FB2">
        <w:rPr>
          <w:lang w:val="nb-NO"/>
        </w:rPr>
        <w:fldChar w:fldCharType="separate"/>
      </w:r>
      <w:r w:rsidR="00E41FB2" w:rsidRPr="00E41FB2">
        <w:rPr>
          <w:noProof/>
        </w:rPr>
        <w:t>(Souissi et al., 2021)</w:t>
      </w:r>
      <w:r w:rsidR="00E41FB2">
        <w:rPr>
          <w:lang w:val="nb-NO"/>
        </w:rPr>
        <w:fldChar w:fldCharType="end"/>
      </w:r>
    </w:p>
    <w:p w14:paraId="33E9AB3A" w14:textId="2FCFE734" w:rsidR="00CD7EBB" w:rsidRPr="00E41FB2" w:rsidRDefault="00CD7EBB" w:rsidP="009948CA">
      <w:pPr>
        <w:pStyle w:val="Caption"/>
        <w:ind w:left="0"/>
        <w:jc w:val="center"/>
      </w:pPr>
      <w:r w:rsidRPr="00E41FB2">
        <w:t>[2]</w:t>
      </w:r>
      <w:r w:rsidR="00E41FB2" w:rsidRPr="00E41FB2">
        <w:t xml:space="preserve"> </w:t>
      </w:r>
      <w:r w:rsidR="00E41FB2">
        <w:rPr>
          <w:lang w:val="nb-NO"/>
        </w:rPr>
        <w:fldChar w:fldCharType="begin"/>
      </w:r>
      <w:r w:rsidR="00C140F1">
        <w:instrText xml:space="preserve"> ADDIN ZOTERO_ITEM CSL_CITATION {"citationID":"Y8wfjlzW","properties":{"formattedCitation":"(Chavez et al., 2025)","plainCitation":"(Chavez et al., 2025)","noteIndex":0},"citationItems":[{"id":1590,"uris":["http://zotero.org/users/15573016/items/G59QEH4R"],"itemData":{"id":1590,"type":"article-journal","abstract":"Précis:\n              Micropulse transscleral laser treatment (MP-TLT) and continuous wave transscleral cyclophotocoagulation demonstrated comparable intraocular pressure across all follow-ups. MP-TLT was associated with significantly lower risks of ocular complications such as hypotony, prolonged inflammation, and phthisis bulbi.\n            \n            \n              Purpose:\n              To compare the efficacy and safety of micropulse transscleral laser treatment (MP-TLT) and continuous wave transscleral cyclophotocoagulation (CW-TSCPC) for the treatment of glaucoma or ocular hypertension.\n            \n            \n              Methods:\n              \n                A systematic search was conducted in PubMed, Cochrane Library, Embase, and ClinicalTrials.gov. Randomized controlled trials (RCTs) or cohort studies comparing MP-TLT and CW-TSCPC were included. Weighted mean differences (MDs) were computed for continuous endpoints and risk ratios (RRs) for binary endpoints, with 95% confidence intervals (CIs). Heterogeneity was assessed with I\n                2\n                statistics. Software R, version 4.4.0, was used for statistical analyses. Subgroup analyses were conducted on glaucoma types.\n              \n            \n            \n              Results:\n              Eleven studies encompassing 1,054 eyes from 986 patients were included, with 47.4% receiving MP-TLT. There were no significant differences in IOP between CW-TSCPC and MP-TLT at one week, one month, three months, six months, 12 months, and 18 months of follow-up. The MP-TLT group required a significantly higher number of hypotensive medications but displayed significantly reduced risks of overall complications, ocular hypotony, prolonged inflammation, and phthisis bulbi compared to CW-TSCPC.\n            \n            \n              Conclusion:\n              MP-TLT and CW-TSCPC showed similar efficacy in IOP control. However, MP-TLT demonstrated a greater safety profile, suggesting its potential suitability for patients requiring repeat interventions or those with lower tolerance for ocular complications.","container-title":"Journal of Glaucoma","DOI":"10.1097/IJG.0000000000002583","ISSN":"1057-0829, 1536-481X","language":"en","source":"DOI.org (Crossref)","title":"Micropulse Transscleral Laser Treatment vs. Continuous Wave Transscleral Cyclophotocoagulation for the Treatment of Glaucoma or Ocular Hypertension: A Meta-Analysis","title-short":"Micropulse Transscleral Laser Treatment vs. Continuous Wave Transscleral Cyclophotocoagulation for the Treatment of Glaucoma or Ocular Hypertension","URL":"https://journals.lww.com/10.1097/IJG.0000000000002583","author":[{"family":"Chavez","given":"Matheus Pedrotti"},{"family":"Guedes","given":"Guilherme Barroso"},{"family":"Pasqualotto","given":"Eric"},{"family":"De Almeida","given":"Izabela Negrão Frota"},{"family":"Lopes","given":"Lucca Moreira"},{"family":"Prata","given":"Tiago Santos"},{"family":"De Souza","given":"Tiago Tomaz"}],"accessed":{"date-parts":[["2025",6,30]]},"issued":{"date-parts":[["2025",4,29]]},"citation-key":"chavez2025"}}],"schema":"https://github.com/citation-style-language/schema/raw/master/csl-citation.json"} </w:instrText>
      </w:r>
      <w:r w:rsidR="00E41FB2">
        <w:rPr>
          <w:lang w:val="nb-NO"/>
        </w:rPr>
        <w:fldChar w:fldCharType="separate"/>
      </w:r>
      <w:r w:rsidR="00E41FB2" w:rsidRPr="00E41FB2">
        <w:rPr>
          <w:noProof/>
        </w:rPr>
        <w:t>(Chavez et al., 2025)</w:t>
      </w:r>
      <w:r w:rsidR="00E41FB2">
        <w:rPr>
          <w:lang w:val="nb-NO"/>
        </w:rPr>
        <w:fldChar w:fldCharType="end"/>
      </w:r>
    </w:p>
    <w:p w14:paraId="6B2C4AF5" w14:textId="23C4F17F" w:rsidR="00474CCC" w:rsidRDefault="00474CCC" w:rsidP="009176CB">
      <w:pPr>
        <w:pStyle w:val="Caption"/>
        <w:sectPr w:rsidR="00474CCC" w:rsidSect="001D4978">
          <w:type w:val="continuous"/>
          <w:pgSz w:w="16834" w:h="11909" w:orient="landscape"/>
          <w:pgMar w:top="1134" w:right="1134" w:bottom="1701" w:left="1134" w:header="1134" w:footer="1134" w:gutter="0"/>
          <w:cols w:space="720"/>
          <w:titlePg/>
          <w:docGrid w:linePitch="326"/>
        </w:sectPr>
      </w:pPr>
    </w:p>
    <w:p w14:paraId="0144BA5D" w14:textId="77777777" w:rsidR="00A46067" w:rsidRDefault="00A46067" w:rsidP="00CD7EBB"/>
    <w:p w14:paraId="11979DB2" w14:textId="00C5C138" w:rsidR="00400730" w:rsidRDefault="00400730" w:rsidP="009948CA">
      <w:pPr>
        <w:sectPr w:rsidR="00400730" w:rsidSect="000C6153">
          <w:type w:val="continuous"/>
          <w:pgSz w:w="16834" w:h="11909" w:orient="landscape"/>
          <w:pgMar w:top="1134" w:right="1134" w:bottom="1701" w:left="1134" w:header="1134" w:footer="1134" w:gutter="0"/>
          <w:cols w:space="720"/>
          <w:titlePg/>
          <w:docGrid w:linePitch="326"/>
        </w:sectPr>
      </w:pPr>
    </w:p>
    <w:p w14:paraId="168A8672" w14:textId="77777777" w:rsidR="00400730" w:rsidRPr="00F42417" w:rsidRDefault="00400730" w:rsidP="009948CA">
      <w:pPr>
        <w:autoSpaceDE w:val="0"/>
        <w:autoSpaceDN w:val="0"/>
        <w:adjustRightInd w:val="0"/>
        <w:jc w:val="both"/>
        <w:rPr>
          <w:b/>
        </w:rPr>
      </w:pPr>
    </w:p>
    <w:p w14:paraId="5B547624" w14:textId="7E047EC8" w:rsidR="00400730" w:rsidRPr="00F42417" w:rsidRDefault="00400730" w:rsidP="00400730">
      <w:pPr>
        <w:autoSpaceDE w:val="0"/>
        <w:autoSpaceDN w:val="0"/>
        <w:adjustRightInd w:val="0"/>
        <w:jc w:val="center"/>
        <w:rPr>
          <w:b/>
        </w:rPr>
      </w:pPr>
    </w:p>
    <w:p w14:paraId="52451BCB" w14:textId="77777777" w:rsidR="00400730" w:rsidRPr="00F42417" w:rsidRDefault="00400730" w:rsidP="008B2CD7">
      <w:pPr>
        <w:autoSpaceDE w:val="0"/>
        <w:autoSpaceDN w:val="0"/>
        <w:adjustRightInd w:val="0"/>
        <w:jc w:val="center"/>
        <w:rPr>
          <w:b/>
        </w:rPr>
      </w:pPr>
      <w:r w:rsidRPr="00F42417">
        <w:rPr>
          <w:b/>
        </w:rPr>
        <w:t>Declaration</w:t>
      </w:r>
    </w:p>
    <w:p w14:paraId="404816FC" w14:textId="77777777" w:rsidR="00400730" w:rsidRPr="00F42417" w:rsidRDefault="00400730" w:rsidP="00400730">
      <w:pPr>
        <w:autoSpaceDE w:val="0"/>
        <w:autoSpaceDN w:val="0"/>
        <w:adjustRightInd w:val="0"/>
        <w:jc w:val="center"/>
        <w:rPr>
          <w:b/>
        </w:rPr>
      </w:pPr>
    </w:p>
    <w:p w14:paraId="28A68C07" w14:textId="77777777" w:rsidR="00400730" w:rsidRPr="00F42417" w:rsidRDefault="00400730" w:rsidP="00400730">
      <w:pPr>
        <w:autoSpaceDE w:val="0"/>
        <w:autoSpaceDN w:val="0"/>
        <w:adjustRightInd w:val="0"/>
        <w:jc w:val="center"/>
        <w:rPr>
          <w:b/>
        </w:rPr>
      </w:pPr>
    </w:p>
    <w:p w14:paraId="1856B127" w14:textId="77777777" w:rsidR="00400730" w:rsidRPr="00F42417" w:rsidRDefault="00400730" w:rsidP="008B2CD7">
      <w:pPr>
        <w:autoSpaceDE w:val="0"/>
        <w:autoSpaceDN w:val="0"/>
        <w:adjustRightInd w:val="0"/>
        <w:jc w:val="center"/>
      </w:pPr>
    </w:p>
    <w:p w14:paraId="50D6D905" w14:textId="77777777" w:rsidR="00400730" w:rsidRPr="00F42417" w:rsidRDefault="00400730" w:rsidP="008B2CD7">
      <w:pPr>
        <w:autoSpaceDE w:val="0"/>
        <w:autoSpaceDN w:val="0"/>
        <w:adjustRightInd w:val="0"/>
        <w:jc w:val="center"/>
      </w:pPr>
    </w:p>
    <w:p w14:paraId="5D5062F7" w14:textId="333CAF44" w:rsidR="00400730" w:rsidRPr="00F42417" w:rsidRDefault="00400730" w:rsidP="008B2CD7">
      <w:pPr>
        <w:autoSpaceDE w:val="0"/>
        <w:autoSpaceDN w:val="0"/>
        <w:adjustRightInd w:val="0"/>
        <w:spacing w:line="360" w:lineRule="auto"/>
        <w:jc w:val="both"/>
      </w:pPr>
      <w:r w:rsidRPr="00F42417">
        <w:t xml:space="preserve">I, </w:t>
      </w:r>
      <w:r>
        <w:t>Kenny Kruber,</w:t>
      </w:r>
      <w:r w:rsidRPr="00F42417">
        <w:t xml:space="preserve"> hereby certify that this research paper on the topic </w:t>
      </w:r>
    </w:p>
    <w:p w14:paraId="6FF188E0" w14:textId="77777777" w:rsidR="00400730" w:rsidRPr="00F42417" w:rsidRDefault="00400730" w:rsidP="008B2CD7">
      <w:pPr>
        <w:jc w:val="both"/>
      </w:pPr>
    </w:p>
    <w:tbl>
      <w:tblPr>
        <w:tblW w:w="9322" w:type="dxa"/>
        <w:tblLook w:val="04A0" w:firstRow="1" w:lastRow="0" w:firstColumn="1" w:lastColumn="0" w:noHBand="0" w:noVBand="1"/>
      </w:tblPr>
      <w:tblGrid>
        <w:gridCol w:w="9322"/>
      </w:tblGrid>
      <w:tr w:rsidR="00400730" w:rsidRPr="00F42417" w14:paraId="1129C554" w14:textId="77777777" w:rsidTr="00452158">
        <w:tc>
          <w:tcPr>
            <w:tcW w:w="9322" w:type="dxa"/>
            <w:tcBorders>
              <w:bottom w:val="single" w:sz="4" w:space="0" w:color="auto"/>
            </w:tcBorders>
          </w:tcPr>
          <w:p w14:paraId="201CEFD7" w14:textId="419BD84E" w:rsidR="00400730" w:rsidRPr="00F42417" w:rsidRDefault="00400730" w:rsidP="007466CC">
            <w:pPr>
              <w:jc w:val="center"/>
            </w:pPr>
            <w:r w:rsidRPr="00F42417">
              <w:t>„</w:t>
            </w:r>
            <w:r w:rsidR="007466CC" w:rsidRPr="007466CC">
              <w:t>Pēcoperācijas periods pēc glaukomas operācijas</w:t>
            </w:r>
            <w:r w:rsidRPr="00F42417">
              <w:t>”</w:t>
            </w:r>
          </w:p>
        </w:tc>
      </w:tr>
      <w:tr w:rsidR="00400730" w:rsidRPr="00F42417" w14:paraId="003B6B07" w14:textId="77777777" w:rsidTr="00452158">
        <w:tc>
          <w:tcPr>
            <w:tcW w:w="9322" w:type="dxa"/>
            <w:tcBorders>
              <w:top w:val="single" w:sz="4" w:space="0" w:color="auto"/>
            </w:tcBorders>
          </w:tcPr>
          <w:p w14:paraId="0A83E02A" w14:textId="77777777" w:rsidR="00400730" w:rsidRPr="00F42417" w:rsidRDefault="00400730" w:rsidP="008B2CD7">
            <w:pPr>
              <w:jc w:val="center"/>
              <w:rPr>
                <w:sz w:val="16"/>
                <w:szCs w:val="16"/>
              </w:rPr>
            </w:pPr>
            <w:r w:rsidRPr="00F42417">
              <w:rPr>
                <w:sz w:val="16"/>
                <w:szCs w:val="16"/>
              </w:rPr>
              <w:t>(title of the research paper in Latvian)</w:t>
            </w:r>
          </w:p>
        </w:tc>
      </w:tr>
    </w:tbl>
    <w:p w14:paraId="02858EC3" w14:textId="77777777" w:rsidR="00400730" w:rsidRPr="00F42417" w:rsidRDefault="00400730" w:rsidP="008B2CD7">
      <w:pPr>
        <w:jc w:val="both"/>
      </w:pPr>
    </w:p>
    <w:tbl>
      <w:tblPr>
        <w:tblW w:w="9322" w:type="dxa"/>
        <w:tblLook w:val="04A0" w:firstRow="1" w:lastRow="0" w:firstColumn="1" w:lastColumn="0" w:noHBand="0" w:noVBand="1"/>
      </w:tblPr>
      <w:tblGrid>
        <w:gridCol w:w="9322"/>
      </w:tblGrid>
      <w:tr w:rsidR="00400730" w:rsidRPr="00F42417" w14:paraId="3B3064E7" w14:textId="77777777" w:rsidTr="00452158">
        <w:tc>
          <w:tcPr>
            <w:tcW w:w="9322" w:type="dxa"/>
            <w:tcBorders>
              <w:bottom w:val="single" w:sz="4" w:space="0" w:color="auto"/>
            </w:tcBorders>
          </w:tcPr>
          <w:p w14:paraId="58C2908D" w14:textId="79C24778" w:rsidR="00400730" w:rsidRPr="00F42417" w:rsidRDefault="00400730" w:rsidP="007466CC">
            <w:pPr>
              <w:jc w:val="center"/>
            </w:pPr>
            <w:r w:rsidRPr="00F42417">
              <w:t>„</w:t>
            </w:r>
            <w:r w:rsidR="007466CC" w:rsidRPr="007466CC">
              <w:t>Postoperative period after glaucoma surgery</w:t>
            </w:r>
            <w:r w:rsidRPr="00F42417">
              <w:t>”</w:t>
            </w:r>
          </w:p>
        </w:tc>
      </w:tr>
      <w:tr w:rsidR="00400730" w:rsidRPr="00F42417" w14:paraId="52C2A73B" w14:textId="77777777" w:rsidTr="00452158">
        <w:tc>
          <w:tcPr>
            <w:tcW w:w="9322" w:type="dxa"/>
            <w:tcBorders>
              <w:top w:val="single" w:sz="4" w:space="0" w:color="auto"/>
            </w:tcBorders>
          </w:tcPr>
          <w:p w14:paraId="4A9BB6DA" w14:textId="77777777" w:rsidR="00400730" w:rsidRPr="00F42417" w:rsidRDefault="00400730" w:rsidP="008B2CD7">
            <w:pPr>
              <w:jc w:val="center"/>
            </w:pPr>
            <w:r w:rsidRPr="00F42417">
              <w:rPr>
                <w:sz w:val="16"/>
                <w:szCs w:val="16"/>
              </w:rPr>
              <w:t>(title of the research paper in English)</w:t>
            </w:r>
          </w:p>
        </w:tc>
      </w:tr>
    </w:tbl>
    <w:p w14:paraId="10965AB4" w14:textId="77777777" w:rsidR="00400730" w:rsidRPr="00F42417" w:rsidRDefault="00400730" w:rsidP="008B2CD7">
      <w:pPr>
        <w:autoSpaceDE w:val="0"/>
        <w:autoSpaceDN w:val="0"/>
        <w:adjustRightInd w:val="0"/>
        <w:spacing w:line="360" w:lineRule="auto"/>
        <w:jc w:val="both"/>
      </w:pPr>
    </w:p>
    <w:p w14:paraId="73225DD1" w14:textId="77777777" w:rsidR="00400730" w:rsidRPr="00F42417" w:rsidRDefault="00400730" w:rsidP="008B2CD7">
      <w:pPr>
        <w:autoSpaceDE w:val="0"/>
        <w:autoSpaceDN w:val="0"/>
        <w:adjustRightInd w:val="0"/>
        <w:spacing w:line="360" w:lineRule="auto"/>
        <w:jc w:val="both"/>
      </w:pPr>
      <w:r w:rsidRPr="00F42417">
        <w:t>is my own independent research. All other sources of data, definitions and quotations in my research paper are referenced accordingly. The text of this research paper has never been submitted in any way to any other National Examination Board for evaluation in its entirety or parts, and has never been published in its entirety.</w:t>
      </w:r>
    </w:p>
    <w:p w14:paraId="0875FE22" w14:textId="77777777" w:rsidR="00400730" w:rsidRPr="00F42417" w:rsidRDefault="00400730" w:rsidP="008B2CD7">
      <w:pPr>
        <w:autoSpaceDE w:val="0"/>
        <w:autoSpaceDN w:val="0"/>
        <w:adjustRightInd w:val="0"/>
        <w:spacing w:line="360" w:lineRule="auto"/>
        <w:jc w:val="center"/>
      </w:pPr>
    </w:p>
    <w:p w14:paraId="31A324B6" w14:textId="77777777" w:rsidR="00400730" w:rsidRPr="00F42417" w:rsidRDefault="00400730" w:rsidP="008B2CD7">
      <w:pPr>
        <w:autoSpaceDE w:val="0"/>
        <w:autoSpaceDN w:val="0"/>
        <w:adjustRightInd w:val="0"/>
        <w:rPr>
          <w:i/>
          <w:iCs/>
        </w:rPr>
      </w:pPr>
    </w:p>
    <w:p w14:paraId="5AC42319" w14:textId="77777777" w:rsidR="00400730" w:rsidRPr="00F42417" w:rsidRDefault="00400730" w:rsidP="008B2CD7">
      <w:pPr>
        <w:autoSpaceDE w:val="0"/>
        <w:autoSpaceDN w:val="0"/>
        <w:adjustRightInd w:val="0"/>
        <w:rPr>
          <w:iCs/>
        </w:rPr>
      </w:pPr>
    </w:p>
    <w:p w14:paraId="31834CC6" w14:textId="77777777" w:rsidR="00400730" w:rsidRPr="00F42417" w:rsidRDefault="00400730" w:rsidP="008B2CD7">
      <w:pPr>
        <w:autoSpaceDE w:val="0"/>
        <w:autoSpaceDN w:val="0"/>
        <w:adjustRightInd w:val="0"/>
        <w:rPr>
          <w:iCs/>
        </w:rPr>
      </w:pPr>
    </w:p>
    <w:p w14:paraId="152527D7" w14:textId="059DC475" w:rsidR="00400730" w:rsidRPr="00F42417" w:rsidRDefault="00400730" w:rsidP="008B2CD7">
      <w:pPr>
        <w:autoSpaceDE w:val="0"/>
        <w:autoSpaceDN w:val="0"/>
        <w:adjustRightInd w:val="0"/>
        <w:jc w:val="right"/>
        <w:rPr>
          <w:rFonts w:eastAsia="DutchTL"/>
        </w:rPr>
      </w:pPr>
      <w:r w:rsidRPr="00F42417">
        <w:t>_____________________ /</w:t>
      </w:r>
      <w:r w:rsidR="007466CC">
        <w:t>Kenny Kruber</w:t>
      </w:r>
      <w:r w:rsidRPr="00F42417">
        <w:t>/</w:t>
      </w:r>
    </w:p>
    <w:p w14:paraId="4D7629C3" w14:textId="77777777" w:rsidR="00400730" w:rsidRPr="00F42417" w:rsidRDefault="00400730" w:rsidP="007466CC">
      <w:pPr>
        <w:autoSpaceDE w:val="0"/>
        <w:autoSpaceDN w:val="0"/>
        <w:adjustRightInd w:val="0"/>
        <w:ind w:left="4320" w:firstLine="720"/>
        <w:rPr>
          <w:rFonts w:eastAsia="DutchTL"/>
        </w:rPr>
      </w:pPr>
      <w:r w:rsidRPr="00F42417">
        <w:t>(student’s signature) (name, surname)</w:t>
      </w:r>
    </w:p>
    <w:p w14:paraId="492D02B1" w14:textId="77777777" w:rsidR="00400730" w:rsidRPr="00F42417" w:rsidRDefault="00400730" w:rsidP="008B2CD7">
      <w:pPr>
        <w:autoSpaceDE w:val="0"/>
        <w:autoSpaceDN w:val="0"/>
        <w:adjustRightInd w:val="0"/>
        <w:spacing w:line="360" w:lineRule="auto"/>
        <w:jc w:val="right"/>
        <w:rPr>
          <w:rFonts w:eastAsia="DutchTL"/>
        </w:rPr>
      </w:pPr>
    </w:p>
    <w:p w14:paraId="5ECD2CDF" w14:textId="77777777" w:rsidR="00400730" w:rsidRPr="00F42417" w:rsidRDefault="00400730" w:rsidP="008B2CD7">
      <w:pPr>
        <w:autoSpaceDE w:val="0"/>
        <w:autoSpaceDN w:val="0"/>
        <w:adjustRightInd w:val="0"/>
        <w:spacing w:line="360" w:lineRule="auto"/>
        <w:jc w:val="right"/>
        <w:rPr>
          <w:rFonts w:eastAsia="DutchTL"/>
        </w:rPr>
      </w:pPr>
    </w:p>
    <w:p w14:paraId="4EFAB27C" w14:textId="19541DF9" w:rsidR="00FC32F9" w:rsidRPr="00CD7EBB" w:rsidRDefault="007466CC" w:rsidP="007466CC">
      <w:pPr>
        <w:jc w:val="right"/>
      </w:pPr>
      <w:r>
        <w:t>04.11.2025</w:t>
      </w:r>
    </w:p>
    <w:sectPr w:rsidR="00FC32F9" w:rsidRPr="00CD7EBB" w:rsidSect="00400730">
      <w:pgSz w:w="11909" w:h="16834"/>
      <w:pgMar w:top="1134" w:right="1134" w:bottom="1134" w:left="1701" w:header="113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63634" w14:textId="77777777" w:rsidR="001E4054" w:rsidRDefault="001E4054">
      <w:r>
        <w:separator/>
      </w:r>
    </w:p>
  </w:endnote>
  <w:endnote w:type="continuationSeparator" w:id="0">
    <w:p w14:paraId="5639A933" w14:textId="77777777" w:rsidR="001E4054" w:rsidRDefault="001E4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DutchTL">
    <w:altName w:val="Arial Unicode MS"/>
    <w:panose1 w:val="020B0604020202020204"/>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87671119"/>
      <w:docPartObj>
        <w:docPartGallery w:val="Page Numbers (Bottom of Page)"/>
        <w:docPartUnique/>
      </w:docPartObj>
    </w:sdtPr>
    <w:sdtContent>
      <w:p w14:paraId="5B37BD73" w14:textId="1188AC8B" w:rsidR="005A43FF" w:rsidRDefault="005A43FF" w:rsidP="002F01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069A3">
          <w:rPr>
            <w:rStyle w:val="PageNumber"/>
            <w:noProof/>
          </w:rPr>
          <w:t>1</w:t>
        </w:r>
        <w:r>
          <w:rPr>
            <w:rStyle w:val="PageNumber"/>
          </w:rPr>
          <w:fldChar w:fldCharType="end"/>
        </w:r>
      </w:p>
    </w:sdtContent>
  </w:sdt>
  <w:p w14:paraId="3B9902FE" w14:textId="77777777" w:rsidR="005A43FF" w:rsidRDefault="005A43FF" w:rsidP="005A43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6637168"/>
      <w:docPartObj>
        <w:docPartGallery w:val="Page Numbers (Bottom of Page)"/>
        <w:docPartUnique/>
      </w:docPartObj>
    </w:sdtPr>
    <w:sdtContent>
      <w:p w14:paraId="05313823" w14:textId="16D04322" w:rsidR="005A43FF" w:rsidRDefault="005A43FF" w:rsidP="002F01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30CDF34" w14:textId="1040924B" w:rsidR="007400BA" w:rsidRPr="00FB2A88" w:rsidRDefault="007400BA" w:rsidP="005A43FF">
    <w:pPr>
      <w:ind w:right="360"/>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7C261" w14:textId="77777777" w:rsidR="00FF3D44" w:rsidRDefault="00FF3D44" w:rsidP="00FF3D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EBF57" w14:textId="77777777" w:rsidR="001E4054" w:rsidRDefault="001E4054">
      <w:r>
        <w:separator/>
      </w:r>
    </w:p>
  </w:footnote>
  <w:footnote w:type="continuationSeparator" w:id="0">
    <w:p w14:paraId="20680A50" w14:textId="77777777" w:rsidR="001E4054" w:rsidRDefault="001E40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2BEB"/>
    <w:multiLevelType w:val="hybridMultilevel"/>
    <w:tmpl w:val="11A08A8E"/>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 w15:restartNumberingAfterBreak="0">
    <w:nsid w:val="0C9E4A48"/>
    <w:multiLevelType w:val="hybridMultilevel"/>
    <w:tmpl w:val="88A0FBA8"/>
    <w:lvl w:ilvl="0" w:tplc="EE2CC6AE">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 w15:restartNumberingAfterBreak="0">
    <w:nsid w:val="187A2FA7"/>
    <w:multiLevelType w:val="hybridMultilevel"/>
    <w:tmpl w:val="C338BE54"/>
    <w:lvl w:ilvl="0" w:tplc="FFFFFFFF">
      <w:start w:val="1"/>
      <w:numFmt w:val="upperRoman"/>
      <w:lvlText w:val="%1."/>
      <w:lvlJc w:val="right"/>
      <w:pPr>
        <w:ind w:left="1145" w:hanging="360"/>
      </w:pPr>
      <w:rPr>
        <w:b w:val="0"/>
        <w:bCs w:val="0"/>
      </w:rPr>
    </w:lvl>
    <w:lvl w:ilvl="1" w:tplc="FFFFFFFF">
      <w:start w:val="1"/>
      <w:numFmt w:val="lowerLetter"/>
      <w:lvlText w:val="%2."/>
      <w:lvlJc w:val="left"/>
      <w:pPr>
        <w:ind w:left="1865" w:hanging="360"/>
      </w:pPr>
    </w:lvl>
    <w:lvl w:ilvl="2" w:tplc="08090001">
      <w:start w:val="1"/>
      <w:numFmt w:val="bullet"/>
      <w:lvlText w:val=""/>
      <w:lvlJc w:val="left"/>
      <w:pPr>
        <w:ind w:left="1145" w:hanging="360"/>
      </w:pPr>
      <w:rPr>
        <w:rFonts w:ascii="Symbol" w:hAnsi="Symbol" w:hint="default"/>
      </w:rPr>
    </w:lvl>
    <w:lvl w:ilvl="3" w:tplc="FFFFFFFF">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 w15:restartNumberingAfterBreak="0">
    <w:nsid w:val="203305D3"/>
    <w:multiLevelType w:val="hybridMultilevel"/>
    <w:tmpl w:val="3C38B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911E1D"/>
    <w:multiLevelType w:val="hybridMultilevel"/>
    <w:tmpl w:val="C9460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D2D35"/>
    <w:multiLevelType w:val="hybridMultilevel"/>
    <w:tmpl w:val="C5FCDFC4"/>
    <w:lvl w:ilvl="0" w:tplc="2070E490">
      <w:start w:val="1"/>
      <w:numFmt w:val="upperRoman"/>
      <w:lvlText w:val="%1."/>
      <w:lvlJc w:val="right"/>
      <w:pPr>
        <w:ind w:left="1145" w:hanging="360"/>
      </w:pPr>
      <w:rPr>
        <w:b w:val="0"/>
        <w:bCs w:val="0"/>
      </w:rPr>
    </w:lvl>
    <w:lvl w:ilvl="1" w:tplc="08090019">
      <w:start w:val="1"/>
      <w:numFmt w:val="lowerLetter"/>
      <w:lvlText w:val="%2."/>
      <w:lvlJc w:val="left"/>
      <w:pPr>
        <w:ind w:left="1865" w:hanging="360"/>
      </w:pPr>
    </w:lvl>
    <w:lvl w:ilvl="2" w:tplc="0809001B">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6" w15:restartNumberingAfterBreak="0">
    <w:nsid w:val="2F906656"/>
    <w:multiLevelType w:val="hybridMultilevel"/>
    <w:tmpl w:val="74683B2C"/>
    <w:lvl w:ilvl="0" w:tplc="0809000F">
      <w:start w:val="1"/>
      <w:numFmt w:val="decimal"/>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7" w15:restartNumberingAfterBreak="0">
    <w:nsid w:val="404307E9"/>
    <w:multiLevelType w:val="hybridMultilevel"/>
    <w:tmpl w:val="67DCFB5C"/>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8" w15:restartNumberingAfterBreak="0">
    <w:nsid w:val="459D4EEE"/>
    <w:multiLevelType w:val="hybridMultilevel"/>
    <w:tmpl w:val="81CE4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736A42"/>
    <w:multiLevelType w:val="hybridMultilevel"/>
    <w:tmpl w:val="BFF83D8E"/>
    <w:lvl w:ilvl="0" w:tplc="30F8F60C">
      <w:start w:val="1"/>
      <w:numFmt w:val="decimal"/>
      <w:lvlText w:val="%1)"/>
      <w:lvlJc w:val="left"/>
      <w:pPr>
        <w:ind w:left="1152" w:hanging="360"/>
      </w:pPr>
      <w:rPr>
        <w:b/>
        <w:bCs/>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0" w15:restartNumberingAfterBreak="0">
    <w:nsid w:val="4A1551D8"/>
    <w:multiLevelType w:val="multilevel"/>
    <w:tmpl w:val="93D4B4D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4BF24327"/>
    <w:multiLevelType w:val="hybridMultilevel"/>
    <w:tmpl w:val="21A635EC"/>
    <w:lvl w:ilvl="0" w:tplc="0450EE22">
      <w:numFmt w:val="bullet"/>
      <w:lvlText w:val=""/>
      <w:lvlJc w:val="left"/>
      <w:pPr>
        <w:ind w:left="77" w:hanging="360"/>
      </w:pPr>
      <w:rPr>
        <w:rFonts w:ascii="Wingdings" w:eastAsia="Times New Roman" w:hAnsi="Wingdings" w:cs="Times New Roman" w:hint="default"/>
        <w:b w:val="0"/>
        <w:sz w:val="24"/>
      </w:rPr>
    </w:lvl>
    <w:lvl w:ilvl="1" w:tplc="08090003" w:tentative="1">
      <w:start w:val="1"/>
      <w:numFmt w:val="bullet"/>
      <w:lvlText w:val="o"/>
      <w:lvlJc w:val="left"/>
      <w:pPr>
        <w:ind w:left="797" w:hanging="360"/>
      </w:pPr>
      <w:rPr>
        <w:rFonts w:ascii="Courier New" w:hAnsi="Courier New" w:cs="Courier New" w:hint="default"/>
      </w:rPr>
    </w:lvl>
    <w:lvl w:ilvl="2" w:tplc="08090005" w:tentative="1">
      <w:start w:val="1"/>
      <w:numFmt w:val="bullet"/>
      <w:lvlText w:val=""/>
      <w:lvlJc w:val="left"/>
      <w:pPr>
        <w:ind w:left="1517" w:hanging="360"/>
      </w:pPr>
      <w:rPr>
        <w:rFonts w:ascii="Wingdings" w:hAnsi="Wingdings" w:hint="default"/>
      </w:rPr>
    </w:lvl>
    <w:lvl w:ilvl="3" w:tplc="08090001" w:tentative="1">
      <w:start w:val="1"/>
      <w:numFmt w:val="bullet"/>
      <w:lvlText w:val=""/>
      <w:lvlJc w:val="left"/>
      <w:pPr>
        <w:ind w:left="2237" w:hanging="360"/>
      </w:pPr>
      <w:rPr>
        <w:rFonts w:ascii="Symbol" w:hAnsi="Symbol" w:hint="default"/>
      </w:rPr>
    </w:lvl>
    <w:lvl w:ilvl="4" w:tplc="08090003" w:tentative="1">
      <w:start w:val="1"/>
      <w:numFmt w:val="bullet"/>
      <w:lvlText w:val="o"/>
      <w:lvlJc w:val="left"/>
      <w:pPr>
        <w:ind w:left="2957" w:hanging="360"/>
      </w:pPr>
      <w:rPr>
        <w:rFonts w:ascii="Courier New" w:hAnsi="Courier New" w:cs="Courier New" w:hint="default"/>
      </w:rPr>
    </w:lvl>
    <w:lvl w:ilvl="5" w:tplc="08090005" w:tentative="1">
      <w:start w:val="1"/>
      <w:numFmt w:val="bullet"/>
      <w:lvlText w:val=""/>
      <w:lvlJc w:val="left"/>
      <w:pPr>
        <w:ind w:left="3677" w:hanging="360"/>
      </w:pPr>
      <w:rPr>
        <w:rFonts w:ascii="Wingdings" w:hAnsi="Wingdings" w:hint="default"/>
      </w:rPr>
    </w:lvl>
    <w:lvl w:ilvl="6" w:tplc="08090001" w:tentative="1">
      <w:start w:val="1"/>
      <w:numFmt w:val="bullet"/>
      <w:lvlText w:val=""/>
      <w:lvlJc w:val="left"/>
      <w:pPr>
        <w:ind w:left="4397" w:hanging="360"/>
      </w:pPr>
      <w:rPr>
        <w:rFonts w:ascii="Symbol" w:hAnsi="Symbol" w:hint="default"/>
      </w:rPr>
    </w:lvl>
    <w:lvl w:ilvl="7" w:tplc="08090003" w:tentative="1">
      <w:start w:val="1"/>
      <w:numFmt w:val="bullet"/>
      <w:lvlText w:val="o"/>
      <w:lvlJc w:val="left"/>
      <w:pPr>
        <w:ind w:left="5117" w:hanging="360"/>
      </w:pPr>
      <w:rPr>
        <w:rFonts w:ascii="Courier New" w:hAnsi="Courier New" w:cs="Courier New" w:hint="default"/>
      </w:rPr>
    </w:lvl>
    <w:lvl w:ilvl="8" w:tplc="08090005" w:tentative="1">
      <w:start w:val="1"/>
      <w:numFmt w:val="bullet"/>
      <w:lvlText w:val=""/>
      <w:lvlJc w:val="left"/>
      <w:pPr>
        <w:ind w:left="5837" w:hanging="360"/>
      </w:pPr>
      <w:rPr>
        <w:rFonts w:ascii="Wingdings" w:hAnsi="Wingdings" w:hint="default"/>
      </w:rPr>
    </w:lvl>
  </w:abstractNum>
  <w:abstractNum w:abstractNumId="12" w15:restartNumberingAfterBreak="0">
    <w:nsid w:val="57022F5B"/>
    <w:multiLevelType w:val="hybridMultilevel"/>
    <w:tmpl w:val="A1D4E532"/>
    <w:lvl w:ilvl="0" w:tplc="30F8F60C">
      <w:start w:val="1"/>
      <w:numFmt w:val="decimal"/>
      <w:lvlText w:val="%1)"/>
      <w:lvlJc w:val="left"/>
      <w:pPr>
        <w:ind w:left="1152"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A42DC9"/>
    <w:multiLevelType w:val="hybridMultilevel"/>
    <w:tmpl w:val="7556C1D6"/>
    <w:lvl w:ilvl="0" w:tplc="08090001">
      <w:start w:val="1"/>
      <w:numFmt w:val="bullet"/>
      <w:lvlText w:val=""/>
      <w:lvlJc w:val="left"/>
      <w:pPr>
        <w:ind w:left="1865" w:hanging="360"/>
      </w:pPr>
      <w:rPr>
        <w:rFonts w:ascii="Symbol" w:hAnsi="Symbol" w:hint="default"/>
      </w:rPr>
    </w:lvl>
    <w:lvl w:ilvl="1" w:tplc="08090003" w:tentative="1">
      <w:start w:val="1"/>
      <w:numFmt w:val="bullet"/>
      <w:lvlText w:val="o"/>
      <w:lvlJc w:val="left"/>
      <w:pPr>
        <w:ind w:left="2585" w:hanging="360"/>
      </w:pPr>
      <w:rPr>
        <w:rFonts w:ascii="Courier New" w:hAnsi="Courier New" w:cs="Courier New" w:hint="default"/>
      </w:rPr>
    </w:lvl>
    <w:lvl w:ilvl="2" w:tplc="08090005" w:tentative="1">
      <w:start w:val="1"/>
      <w:numFmt w:val="bullet"/>
      <w:lvlText w:val=""/>
      <w:lvlJc w:val="left"/>
      <w:pPr>
        <w:ind w:left="3305" w:hanging="360"/>
      </w:pPr>
      <w:rPr>
        <w:rFonts w:ascii="Wingdings" w:hAnsi="Wingdings" w:hint="default"/>
      </w:rPr>
    </w:lvl>
    <w:lvl w:ilvl="3" w:tplc="08090001" w:tentative="1">
      <w:start w:val="1"/>
      <w:numFmt w:val="bullet"/>
      <w:lvlText w:val=""/>
      <w:lvlJc w:val="left"/>
      <w:pPr>
        <w:ind w:left="4025" w:hanging="360"/>
      </w:pPr>
      <w:rPr>
        <w:rFonts w:ascii="Symbol" w:hAnsi="Symbol" w:hint="default"/>
      </w:rPr>
    </w:lvl>
    <w:lvl w:ilvl="4" w:tplc="08090003" w:tentative="1">
      <w:start w:val="1"/>
      <w:numFmt w:val="bullet"/>
      <w:lvlText w:val="o"/>
      <w:lvlJc w:val="left"/>
      <w:pPr>
        <w:ind w:left="4745" w:hanging="360"/>
      </w:pPr>
      <w:rPr>
        <w:rFonts w:ascii="Courier New" w:hAnsi="Courier New" w:cs="Courier New" w:hint="default"/>
      </w:rPr>
    </w:lvl>
    <w:lvl w:ilvl="5" w:tplc="08090005" w:tentative="1">
      <w:start w:val="1"/>
      <w:numFmt w:val="bullet"/>
      <w:lvlText w:val=""/>
      <w:lvlJc w:val="left"/>
      <w:pPr>
        <w:ind w:left="5465" w:hanging="360"/>
      </w:pPr>
      <w:rPr>
        <w:rFonts w:ascii="Wingdings" w:hAnsi="Wingdings" w:hint="default"/>
      </w:rPr>
    </w:lvl>
    <w:lvl w:ilvl="6" w:tplc="08090001" w:tentative="1">
      <w:start w:val="1"/>
      <w:numFmt w:val="bullet"/>
      <w:lvlText w:val=""/>
      <w:lvlJc w:val="left"/>
      <w:pPr>
        <w:ind w:left="6185" w:hanging="360"/>
      </w:pPr>
      <w:rPr>
        <w:rFonts w:ascii="Symbol" w:hAnsi="Symbol" w:hint="default"/>
      </w:rPr>
    </w:lvl>
    <w:lvl w:ilvl="7" w:tplc="08090003" w:tentative="1">
      <w:start w:val="1"/>
      <w:numFmt w:val="bullet"/>
      <w:lvlText w:val="o"/>
      <w:lvlJc w:val="left"/>
      <w:pPr>
        <w:ind w:left="6905" w:hanging="360"/>
      </w:pPr>
      <w:rPr>
        <w:rFonts w:ascii="Courier New" w:hAnsi="Courier New" w:cs="Courier New" w:hint="default"/>
      </w:rPr>
    </w:lvl>
    <w:lvl w:ilvl="8" w:tplc="08090005" w:tentative="1">
      <w:start w:val="1"/>
      <w:numFmt w:val="bullet"/>
      <w:lvlText w:val=""/>
      <w:lvlJc w:val="left"/>
      <w:pPr>
        <w:ind w:left="7625" w:hanging="360"/>
      </w:pPr>
      <w:rPr>
        <w:rFonts w:ascii="Wingdings" w:hAnsi="Wingdings" w:hint="default"/>
      </w:rPr>
    </w:lvl>
  </w:abstractNum>
  <w:abstractNum w:abstractNumId="14" w15:restartNumberingAfterBreak="0">
    <w:nsid w:val="5AA11434"/>
    <w:multiLevelType w:val="hybridMultilevel"/>
    <w:tmpl w:val="8ACA0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4958B8"/>
    <w:multiLevelType w:val="hybridMultilevel"/>
    <w:tmpl w:val="E8602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7B71BF"/>
    <w:multiLevelType w:val="hybridMultilevel"/>
    <w:tmpl w:val="127A3CC8"/>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7" w15:restartNumberingAfterBreak="0">
    <w:nsid w:val="636F59C1"/>
    <w:multiLevelType w:val="multilevel"/>
    <w:tmpl w:val="4EAA3FA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b/>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57256A9"/>
    <w:multiLevelType w:val="hybridMultilevel"/>
    <w:tmpl w:val="B3C4109E"/>
    <w:lvl w:ilvl="0" w:tplc="30F8F60C">
      <w:start w:val="1"/>
      <w:numFmt w:val="decimal"/>
      <w:lvlText w:val="%1)"/>
      <w:lvlJc w:val="left"/>
      <w:pPr>
        <w:ind w:left="1577" w:hanging="360"/>
      </w:pPr>
      <w:rPr>
        <w:b/>
        <w:bCs/>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9" w15:restartNumberingAfterBreak="0">
    <w:nsid w:val="7C8A7CFB"/>
    <w:multiLevelType w:val="hybridMultilevel"/>
    <w:tmpl w:val="E182B61A"/>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num w:numId="1" w16cid:durableId="1226723072">
    <w:abstractNumId w:val="11"/>
  </w:num>
  <w:num w:numId="2" w16cid:durableId="1757632906">
    <w:abstractNumId w:val="10"/>
  </w:num>
  <w:num w:numId="3" w16cid:durableId="47842767">
    <w:abstractNumId w:val="19"/>
  </w:num>
  <w:num w:numId="4" w16cid:durableId="2134252040">
    <w:abstractNumId w:val="16"/>
  </w:num>
  <w:num w:numId="5" w16cid:durableId="281806262">
    <w:abstractNumId w:val="7"/>
  </w:num>
  <w:num w:numId="6" w16cid:durableId="846797427">
    <w:abstractNumId w:val="13"/>
  </w:num>
  <w:num w:numId="7" w16cid:durableId="698163072">
    <w:abstractNumId w:val="5"/>
  </w:num>
  <w:num w:numId="8" w16cid:durableId="1312909080">
    <w:abstractNumId w:val="2"/>
  </w:num>
  <w:num w:numId="9" w16cid:durableId="666518879">
    <w:abstractNumId w:val="0"/>
  </w:num>
  <w:num w:numId="10" w16cid:durableId="1465001049">
    <w:abstractNumId w:val="6"/>
  </w:num>
  <w:num w:numId="11" w16cid:durableId="658507054">
    <w:abstractNumId w:val="1"/>
  </w:num>
  <w:num w:numId="12" w16cid:durableId="652947181">
    <w:abstractNumId w:val="17"/>
  </w:num>
  <w:num w:numId="13" w16cid:durableId="1575313409">
    <w:abstractNumId w:val="9"/>
  </w:num>
  <w:num w:numId="14" w16cid:durableId="1232228319">
    <w:abstractNumId w:val="12"/>
  </w:num>
  <w:num w:numId="15" w16cid:durableId="245381296">
    <w:abstractNumId w:val="18"/>
  </w:num>
  <w:num w:numId="16" w16cid:durableId="942686884">
    <w:abstractNumId w:val="8"/>
  </w:num>
  <w:num w:numId="17" w16cid:durableId="9837748">
    <w:abstractNumId w:val="15"/>
  </w:num>
  <w:num w:numId="18" w16cid:durableId="1307472497">
    <w:abstractNumId w:val="3"/>
  </w:num>
  <w:num w:numId="19" w16cid:durableId="194732456">
    <w:abstractNumId w:val="4"/>
  </w:num>
  <w:num w:numId="20" w16cid:durableId="92198437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0BA"/>
    <w:rsid w:val="000016AD"/>
    <w:rsid w:val="000028DF"/>
    <w:rsid w:val="00010F97"/>
    <w:rsid w:val="00017461"/>
    <w:rsid w:val="00022293"/>
    <w:rsid w:val="000227BC"/>
    <w:rsid w:val="00025CDE"/>
    <w:rsid w:val="00026F09"/>
    <w:rsid w:val="0003036B"/>
    <w:rsid w:val="00031D80"/>
    <w:rsid w:val="00032596"/>
    <w:rsid w:val="00033767"/>
    <w:rsid w:val="00034EF2"/>
    <w:rsid w:val="00035A50"/>
    <w:rsid w:val="00037498"/>
    <w:rsid w:val="00045678"/>
    <w:rsid w:val="0004638D"/>
    <w:rsid w:val="00047E15"/>
    <w:rsid w:val="00055BFF"/>
    <w:rsid w:val="00063B70"/>
    <w:rsid w:val="00065939"/>
    <w:rsid w:val="00065AE7"/>
    <w:rsid w:val="000679BC"/>
    <w:rsid w:val="00067CAC"/>
    <w:rsid w:val="00070A99"/>
    <w:rsid w:val="00074621"/>
    <w:rsid w:val="00077BA7"/>
    <w:rsid w:val="000856EF"/>
    <w:rsid w:val="0008694A"/>
    <w:rsid w:val="00087A37"/>
    <w:rsid w:val="00087E7F"/>
    <w:rsid w:val="000933B3"/>
    <w:rsid w:val="000947C0"/>
    <w:rsid w:val="000954D7"/>
    <w:rsid w:val="000964AF"/>
    <w:rsid w:val="00097795"/>
    <w:rsid w:val="000A0E77"/>
    <w:rsid w:val="000A24E2"/>
    <w:rsid w:val="000A2C47"/>
    <w:rsid w:val="000A6517"/>
    <w:rsid w:val="000B199D"/>
    <w:rsid w:val="000B1AB3"/>
    <w:rsid w:val="000C0219"/>
    <w:rsid w:val="000C0FC4"/>
    <w:rsid w:val="000C6153"/>
    <w:rsid w:val="000E1A36"/>
    <w:rsid w:val="000E4454"/>
    <w:rsid w:val="000F000F"/>
    <w:rsid w:val="0010131E"/>
    <w:rsid w:val="00102FC1"/>
    <w:rsid w:val="00110647"/>
    <w:rsid w:val="00122927"/>
    <w:rsid w:val="001237C5"/>
    <w:rsid w:val="00124059"/>
    <w:rsid w:val="0013242E"/>
    <w:rsid w:val="00142C9C"/>
    <w:rsid w:val="00145D0D"/>
    <w:rsid w:val="0015107E"/>
    <w:rsid w:val="0015626E"/>
    <w:rsid w:val="00160AEB"/>
    <w:rsid w:val="00164641"/>
    <w:rsid w:val="00164A93"/>
    <w:rsid w:val="00171713"/>
    <w:rsid w:val="001861FE"/>
    <w:rsid w:val="00195FD2"/>
    <w:rsid w:val="00197A11"/>
    <w:rsid w:val="00197FC5"/>
    <w:rsid w:val="001A05CA"/>
    <w:rsid w:val="001A26F4"/>
    <w:rsid w:val="001A4FAB"/>
    <w:rsid w:val="001A6697"/>
    <w:rsid w:val="001B2711"/>
    <w:rsid w:val="001B4D5E"/>
    <w:rsid w:val="001B61B5"/>
    <w:rsid w:val="001D4978"/>
    <w:rsid w:val="001D4ACD"/>
    <w:rsid w:val="001D4BF4"/>
    <w:rsid w:val="001E2610"/>
    <w:rsid w:val="001E4054"/>
    <w:rsid w:val="001E4BC8"/>
    <w:rsid w:val="001F5BE5"/>
    <w:rsid w:val="0020233E"/>
    <w:rsid w:val="0020653D"/>
    <w:rsid w:val="0020696C"/>
    <w:rsid w:val="00213DBD"/>
    <w:rsid w:val="0024401C"/>
    <w:rsid w:val="00246B8D"/>
    <w:rsid w:val="00257C13"/>
    <w:rsid w:val="002639EE"/>
    <w:rsid w:val="00264635"/>
    <w:rsid w:val="002646DC"/>
    <w:rsid w:val="00272C1C"/>
    <w:rsid w:val="002747E6"/>
    <w:rsid w:val="00275FDA"/>
    <w:rsid w:val="00281A6F"/>
    <w:rsid w:val="00281BD4"/>
    <w:rsid w:val="002826F0"/>
    <w:rsid w:val="00282D38"/>
    <w:rsid w:val="00285BE7"/>
    <w:rsid w:val="00286F62"/>
    <w:rsid w:val="00291F76"/>
    <w:rsid w:val="002927D4"/>
    <w:rsid w:val="00292F46"/>
    <w:rsid w:val="00293B5C"/>
    <w:rsid w:val="00294562"/>
    <w:rsid w:val="002A6EC1"/>
    <w:rsid w:val="002B4AAF"/>
    <w:rsid w:val="002C0570"/>
    <w:rsid w:val="002C3189"/>
    <w:rsid w:val="002C381E"/>
    <w:rsid w:val="002C4EDF"/>
    <w:rsid w:val="002C5FF7"/>
    <w:rsid w:val="002D64EB"/>
    <w:rsid w:val="002E12AA"/>
    <w:rsid w:val="002E4C70"/>
    <w:rsid w:val="002E51A6"/>
    <w:rsid w:val="002E5B5C"/>
    <w:rsid w:val="002F01DE"/>
    <w:rsid w:val="002F2782"/>
    <w:rsid w:val="002F3FDB"/>
    <w:rsid w:val="002F6D81"/>
    <w:rsid w:val="00303E5C"/>
    <w:rsid w:val="00312730"/>
    <w:rsid w:val="00312813"/>
    <w:rsid w:val="00320279"/>
    <w:rsid w:val="0032621B"/>
    <w:rsid w:val="00331400"/>
    <w:rsid w:val="0033332F"/>
    <w:rsid w:val="003345A8"/>
    <w:rsid w:val="003505E3"/>
    <w:rsid w:val="00351BE5"/>
    <w:rsid w:val="003544B8"/>
    <w:rsid w:val="0035527A"/>
    <w:rsid w:val="003575BB"/>
    <w:rsid w:val="00357821"/>
    <w:rsid w:val="003619AA"/>
    <w:rsid w:val="0037280E"/>
    <w:rsid w:val="003829CE"/>
    <w:rsid w:val="00383DB9"/>
    <w:rsid w:val="003878BE"/>
    <w:rsid w:val="00392238"/>
    <w:rsid w:val="00393E7A"/>
    <w:rsid w:val="00397484"/>
    <w:rsid w:val="003A0503"/>
    <w:rsid w:val="003A0B82"/>
    <w:rsid w:val="003A1B65"/>
    <w:rsid w:val="003A58D4"/>
    <w:rsid w:val="003C0766"/>
    <w:rsid w:val="003D2377"/>
    <w:rsid w:val="003E1DF8"/>
    <w:rsid w:val="003F05A5"/>
    <w:rsid w:val="003F4483"/>
    <w:rsid w:val="003F7741"/>
    <w:rsid w:val="00400730"/>
    <w:rsid w:val="004069A3"/>
    <w:rsid w:val="004146FC"/>
    <w:rsid w:val="00416CC0"/>
    <w:rsid w:val="004174F2"/>
    <w:rsid w:val="0041772C"/>
    <w:rsid w:val="00422317"/>
    <w:rsid w:val="00437449"/>
    <w:rsid w:val="00437DB0"/>
    <w:rsid w:val="00444169"/>
    <w:rsid w:val="00445B07"/>
    <w:rsid w:val="00455793"/>
    <w:rsid w:val="00455AB4"/>
    <w:rsid w:val="00470F06"/>
    <w:rsid w:val="00472160"/>
    <w:rsid w:val="00473258"/>
    <w:rsid w:val="004733B8"/>
    <w:rsid w:val="00474CCC"/>
    <w:rsid w:val="00476EAD"/>
    <w:rsid w:val="00484FDB"/>
    <w:rsid w:val="00491C51"/>
    <w:rsid w:val="00492CDC"/>
    <w:rsid w:val="0049405B"/>
    <w:rsid w:val="00497AEF"/>
    <w:rsid w:val="004A11E5"/>
    <w:rsid w:val="004A18AB"/>
    <w:rsid w:val="004A28C7"/>
    <w:rsid w:val="004B0F35"/>
    <w:rsid w:val="004B5C4C"/>
    <w:rsid w:val="004B5F65"/>
    <w:rsid w:val="004B6EC0"/>
    <w:rsid w:val="004C7F45"/>
    <w:rsid w:val="004D3EB6"/>
    <w:rsid w:val="004D6EA0"/>
    <w:rsid w:val="004D74EF"/>
    <w:rsid w:val="004E02DA"/>
    <w:rsid w:val="004E6150"/>
    <w:rsid w:val="004E6879"/>
    <w:rsid w:val="004E7101"/>
    <w:rsid w:val="004E7E92"/>
    <w:rsid w:val="004F0A9A"/>
    <w:rsid w:val="004F53FF"/>
    <w:rsid w:val="004F5DA7"/>
    <w:rsid w:val="00506F66"/>
    <w:rsid w:val="005124DD"/>
    <w:rsid w:val="00512AE7"/>
    <w:rsid w:val="005176A2"/>
    <w:rsid w:val="00531498"/>
    <w:rsid w:val="00534EDB"/>
    <w:rsid w:val="00535CB1"/>
    <w:rsid w:val="00537033"/>
    <w:rsid w:val="005414B7"/>
    <w:rsid w:val="00543D1F"/>
    <w:rsid w:val="00546C34"/>
    <w:rsid w:val="00550374"/>
    <w:rsid w:val="00550C05"/>
    <w:rsid w:val="00556080"/>
    <w:rsid w:val="005663D3"/>
    <w:rsid w:val="0056714B"/>
    <w:rsid w:val="00567899"/>
    <w:rsid w:val="00567D30"/>
    <w:rsid w:val="0057232A"/>
    <w:rsid w:val="00577639"/>
    <w:rsid w:val="00577FB6"/>
    <w:rsid w:val="00583B4B"/>
    <w:rsid w:val="00584F5B"/>
    <w:rsid w:val="005856DB"/>
    <w:rsid w:val="00585D78"/>
    <w:rsid w:val="00585E86"/>
    <w:rsid w:val="00587630"/>
    <w:rsid w:val="00590662"/>
    <w:rsid w:val="00592F9D"/>
    <w:rsid w:val="005958A7"/>
    <w:rsid w:val="00597D1C"/>
    <w:rsid w:val="005A43FF"/>
    <w:rsid w:val="005A78B6"/>
    <w:rsid w:val="005B4570"/>
    <w:rsid w:val="005B45B2"/>
    <w:rsid w:val="005B46BE"/>
    <w:rsid w:val="005B4B0D"/>
    <w:rsid w:val="005B4C9C"/>
    <w:rsid w:val="005C1B24"/>
    <w:rsid w:val="005C5B41"/>
    <w:rsid w:val="005D2914"/>
    <w:rsid w:val="005E1BE3"/>
    <w:rsid w:val="005E1CAE"/>
    <w:rsid w:val="005F0099"/>
    <w:rsid w:val="005F79A4"/>
    <w:rsid w:val="00603E42"/>
    <w:rsid w:val="006072BC"/>
    <w:rsid w:val="00616A37"/>
    <w:rsid w:val="00616EEC"/>
    <w:rsid w:val="00623277"/>
    <w:rsid w:val="00627201"/>
    <w:rsid w:val="00627E7B"/>
    <w:rsid w:val="00635C2D"/>
    <w:rsid w:val="0064398A"/>
    <w:rsid w:val="00646CA7"/>
    <w:rsid w:val="00653BF8"/>
    <w:rsid w:val="00657471"/>
    <w:rsid w:val="00657FE7"/>
    <w:rsid w:val="00662715"/>
    <w:rsid w:val="00663FB2"/>
    <w:rsid w:val="006645CF"/>
    <w:rsid w:val="006668D5"/>
    <w:rsid w:val="0067146C"/>
    <w:rsid w:val="00674A27"/>
    <w:rsid w:val="00683CB2"/>
    <w:rsid w:val="00686C8E"/>
    <w:rsid w:val="00687CB8"/>
    <w:rsid w:val="00691CFF"/>
    <w:rsid w:val="0069384E"/>
    <w:rsid w:val="006952C6"/>
    <w:rsid w:val="006A3053"/>
    <w:rsid w:val="006A44E0"/>
    <w:rsid w:val="006B0E73"/>
    <w:rsid w:val="006B0F49"/>
    <w:rsid w:val="006B2271"/>
    <w:rsid w:val="006B2D3C"/>
    <w:rsid w:val="006B3859"/>
    <w:rsid w:val="006B586D"/>
    <w:rsid w:val="006C2B17"/>
    <w:rsid w:val="006D789F"/>
    <w:rsid w:val="006D7BF2"/>
    <w:rsid w:val="006E004F"/>
    <w:rsid w:val="006F40F8"/>
    <w:rsid w:val="006F7FF9"/>
    <w:rsid w:val="00702BBA"/>
    <w:rsid w:val="0071656D"/>
    <w:rsid w:val="00716C0D"/>
    <w:rsid w:val="00717768"/>
    <w:rsid w:val="00721936"/>
    <w:rsid w:val="00724594"/>
    <w:rsid w:val="00731A5F"/>
    <w:rsid w:val="00732046"/>
    <w:rsid w:val="00735D56"/>
    <w:rsid w:val="007400BA"/>
    <w:rsid w:val="007466CC"/>
    <w:rsid w:val="00746A60"/>
    <w:rsid w:val="007545FB"/>
    <w:rsid w:val="007555A3"/>
    <w:rsid w:val="00756CFB"/>
    <w:rsid w:val="00757EAD"/>
    <w:rsid w:val="00763F04"/>
    <w:rsid w:val="00764934"/>
    <w:rsid w:val="0077088A"/>
    <w:rsid w:val="00771DF2"/>
    <w:rsid w:val="00771FC4"/>
    <w:rsid w:val="00774117"/>
    <w:rsid w:val="00774131"/>
    <w:rsid w:val="00774D3A"/>
    <w:rsid w:val="00777AA2"/>
    <w:rsid w:val="007824B8"/>
    <w:rsid w:val="00782D34"/>
    <w:rsid w:val="00783DE1"/>
    <w:rsid w:val="007976C4"/>
    <w:rsid w:val="007A64A0"/>
    <w:rsid w:val="007A7369"/>
    <w:rsid w:val="007A750D"/>
    <w:rsid w:val="007B562A"/>
    <w:rsid w:val="007B794A"/>
    <w:rsid w:val="007C111C"/>
    <w:rsid w:val="007C56A2"/>
    <w:rsid w:val="007C5A1C"/>
    <w:rsid w:val="007D1A93"/>
    <w:rsid w:val="007D50FE"/>
    <w:rsid w:val="007E3865"/>
    <w:rsid w:val="007F0418"/>
    <w:rsid w:val="007F12B2"/>
    <w:rsid w:val="007F43B2"/>
    <w:rsid w:val="007F61A0"/>
    <w:rsid w:val="007F6FE1"/>
    <w:rsid w:val="00805428"/>
    <w:rsid w:val="00813069"/>
    <w:rsid w:val="00815B29"/>
    <w:rsid w:val="0081666F"/>
    <w:rsid w:val="0081676F"/>
    <w:rsid w:val="00816DA9"/>
    <w:rsid w:val="0081718A"/>
    <w:rsid w:val="00834529"/>
    <w:rsid w:val="00840457"/>
    <w:rsid w:val="00842ED5"/>
    <w:rsid w:val="0084703F"/>
    <w:rsid w:val="00850231"/>
    <w:rsid w:val="00850DAD"/>
    <w:rsid w:val="008550EE"/>
    <w:rsid w:val="008631B5"/>
    <w:rsid w:val="008715F4"/>
    <w:rsid w:val="008726F8"/>
    <w:rsid w:val="00886BAE"/>
    <w:rsid w:val="00886E7E"/>
    <w:rsid w:val="00890BC9"/>
    <w:rsid w:val="008A3139"/>
    <w:rsid w:val="008A381F"/>
    <w:rsid w:val="008A4147"/>
    <w:rsid w:val="008B2CD7"/>
    <w:rsid w:val="008C1D3B"/>
    <w:rsid w:val="008C1D88"/>
    <w:rsid w:val="008C1FC9"/>
    <w:rsid w:val="008C52A7"/>
    <w:rsid w:val="008C5405"/>
    <w:rsid w:val="008D1DBB"/>
    <w:rsid w:val="008F144E"/>
    <w:rsid w:val="008F39D1"/>
    <w:rsid w:val="008F4987"/>
    <w:rsid w:val="008F7364"/>
    <w:rsid w:val="009061B6"/>
    <w:rsid w:val="00911E8E"/>
    <w:rsid w:val="009176CB"/>
    <w:rsid w:val="009247C9"/>
    <w:rsid w:val="00927EE2"/>
    <w:rsid w:val="00940791"/>
    <w:rsid w:val="00940AA3"/>
    <w:rsid w:val="009537EE"/>
    <w:rsid w:val="009573A6"/>
    <w:rsid w:val="00960FA2"/>
    <w:rsid w:val="0096737F"/>
    <w:rsid w:val="00967F76"/>
    <w:rsid w:val="00970663"/>
    <w:rsid w:val="00973CF0"/>
    <w:rsid w:val="00981E88"/>
    <w:rsid w:val="00985D20"/>
    <w:rsid w:val="00993789"/>
    <w:rsid w:val="009948CA"/>
    <w:rsid w:val="009A1FC0"/>
    <w:rsid w:val="009A40A7"/>
    <w:rsid w:val="009B2A70"/>
    <w:rsid w:val="009D04BF"/>
    <w:rsid w:val="009D0F12"/>
    <w:rsid w:val="009D14AF"/>
    <w:rsid w:val="009D2F69"/>
    <w:rsid w:val="009D3375"/>
    <w:rsid w:val="009D659D"/>
    <w:rsid w:val="009D6B39"/>
    <w:rsid w:val="009D7ABD"/>
    <w:rsid w:val="009E19C9"/>
    <w:rsid w:val="009E1C7F"/>
    <w:rsid w:val="009E5D77"/>
    <w:rsid w:val="009E615C"/>
    <w:rsid w:val="009E66E4"/>
    <w:rsid w:val="009F33E4"/>
    <w:rsid w:val="009F44DE"/>
    <w:rsid w:val="00A011F4"/>
    <w:rsid w:val="00A07851"/>
    <w:rsid w:val="00A11753"/>
    <w:rsid w:val="00A14C8F"/>
    <w:rsid w:val="00A2432A"/>
    <w:rsid w:val="00A2654F"/>
    <w:rsid w:val="00A46067"/>
    <w:rsid w:val="00A47802"/>
    <w:rsid w:val="00A507ED"/>
    <w:rsid w:val="00A50C48"/>
    <w:rsid w:val="00A54390"/>
    <w:rsid w:val="00A55C45"/>
    <w:rsid w:val="00A605B3"/>
    <w:rsid w:val="00A619BD"/>
    <w:rsid w:val="00A72A25"/>
    <w:rsid w:val="00A81909"/>
    <w:rsid w:val="00A81DFE"/>
    <w:rsid w:val="00A8475E"/>
    <w:rsid w:val="00A873E4"/>
    <w:rsid w:val="00A93C80"/>
    <w:rsid w:val="00AA299A"/>
    <w:rsid w:val="00AA33FF"/>
    <w:rsid w:val="00AA617E"/>
    <w:rsid w:val="00AB2C54"/>
    <w:rsid w:val="00AB3868"/>
    <w:rsid w:val="00AC1635"/>
    <w:rsid w:val="00AC4114"/>
    <w:rsid w:val="00AC56DE"/>
    <w:rsid w:val="00AC59A6"/>
    <w:rsid w:val="00AC656D"/>
    <w:rsid w:val="00AC786E"/>
    <w:rsid w:val="00AD128D"/>
    <w:rsid w:val="00AF0041"/>
    <w:rsid w:val="00AF0924"/>
    <w:rsid w:val="00AF101A"/>
    <w:rsid w:val="00AF25B0"/>
    <w:rsid w:val="00AF3007"/>
    <w:rsid w:val="00AF3326"/>
    <w:rsid w:val="00B0190A"/>
    <w:rsid w:val="00B023AF"/>
    <w:rsid w:val="00B0370C"/>
    <w:rsid w:val="00B037BE"/>
    <w:rsid w:val="00B037C9"/>
    <w:rsid w:val="00B04128"/>
    <w:rsid w:val="00B051D4"/>
    <w:rsid w:val="00B12B2A"/>
    <w:rsid w:val="00B13074"/>
    <w:rsid w:val="00B136B3"/>
    <w:rsid w:val="00B14B8D"/>
    <w:rsid w:val="00B1525F"/>
    <w:rsid w:val="00B21D5E"/>
    <w:rsid w:val="00B32BF6"/>
    <w:rsid w:val="00B3514E"/>
    <w:rsid w:val="00B3700F"/>
    <w:rsid w:val="00B41666"/>
    <w:rsid w:val="00B440B6"/>
    <w:rsid w:val="00B47EAA"/>
    <w:rsid w:val="00B5511D"/>
    <w:rsid w:val="00B645DB"/>
    <w:rsid w:val="00B71C6A"/>
    <w:rsid w:val="00B7528D"/>
    <w:rsid w:val="00B7621A"/>
    <w:rsid w:val="00B823B8"/>
    <w:rsid w:val="00B866A3"/>
    <w:rsid w:val="00B87695"/>
    <w:rsid w:val="00B87AA0"/>
    <w:rsid w:val="00B9795B"/>
    <w:rsid w:val="00BB4273"/>
    <w:rsid w:val="00BB664B"/>
    <w:rsid w:val="00BD2196"/>
    <w:rsid w:val="00BD5817"/>
    <w:rsid w:val="00BD6473"/>
    <w:rsid w:val="00BD664E"/>
    <w:rsid w:val="00BD7A3A"/>
    <w:rsid w:val="00BE3C38"/>
    <w:rsid w:val="00BE5B2D"/>
    <w:rsid w:val="00BE6D81"/>
    <w:rsid w:val="00BE7129"/>
    <w:rsid w:val="00BF0650"/>
    <w:rsid w:val="00BF27A3"/>
    <w:rsid w:val="00BF54B3"/>
    <w:rsid w:val="00BF73F0"/>
    <w:rsid w:val="00BF7A62"/>
    <w:rsid w:val="00C00222"/>
    <w:rsid w:val="00C00A76"/>
    <w:rsid w:val="00C00AF3"/>
    <w:rsid w:val="00C02FFF"/>
    <w:rsid w:val="00C04E2A"/>
    <w:rsid w:val="00C077C4"/>
    <w:rsid w:val="00C10A62"/>
    <w:rsid w:val="00C11781"/>
    <w:rsid w:val="00C140F1"/>
    <w:rsid w:val="00C17943"/>
    <w:rsid w:val="00C213FA"/>
    <w:rsid w:val="00C227D2"/>
    <w:rsid w:val="00C22F13"/>
    <w:rsid w:val="00C37EAB"/>
    <w:rsid w:val="00C41379"/>
    <w:rsid w:val="00C4320F"/>
    <w:rsid w:val="00C5004A"/>
    <w:rsid w:val="00C514F8"/>
    <w:rsid w:val="00C54117"/>
    <w:rsid w:val="00C55B13"/>
    <w:rsid w:val="00C55EF3"/>
    <w:rsid w:val="00C60EDD"/>
    <w:rsid w:val="00C629B6"/>
    <w:rsid w:val="00C64A1F"/>
    <w:rsid w:val="00C66941"/>
    <w:rsid w:val="00C77A8C"/>
    <w:rsid w:val="00C9345B"/>
    <w:rsid w:val="00CA3D43"/>
    <w:rsid w:val="00CA45D8"/>
    <w:rsid w:val="00CA49AF"/>
    <w:rsid w:val="00CB087C"/>
    <w:rsid w:val="00CC2E49"/>
    <w:rsid w:val="00CD7EBB"/>
    <w:rsid w:val="00CE227E"/>
    <w:rsid w:val="00CF5B71"/>
    <w:rsid w:val="00D01EA8"/>
    <w:rsid w:val="00D04677"/>
    <w:rsid w:val="00D11410"/>
    <w:rsid w:val="00D25A6C"/>
    <w:rsid w:val="00D3160F"/>
    <w:rsid w:val="00D33BC9"/>
    <w:rsid w:val="00D3424B"/>
    <w:rsid w:val="00D36D83"/>
    <w:rsid w:val="00D376BC"/>
    <w:rsid w:val="00D378A9"/>
    <w:rsid w:val="00D47BB8"/>
    <w:rsid w:val="00D506FB"/>
    <w:rsid w:val="00D5330F"/>
    <w:rsid w:val="00D560B1"/>
    <w:rsid w:val="00D63622"/>
    <w:rsid w:val="00D63CB7"/>
    <w:rsid w:val="00D65676"/>
    <w:rsid w:val="00D67D35"/>
    <w:rsid w:val="00D72D8C"/>
    <w:rsid w:val="00D87D09"/>
    <w:rsid w:val="00DA25A0"/>
    <w:rsid w:val="00DA40C6"/>
    <w:rsid w:val="00DA46FD"/>
    <w:rsid w:val="00DA6E3B"/>
    <w:rsid w:val="00DB3210"/>
    <w:rsid w:val="00DB47B8"/>
    <w:rsid w:val="00DB6898"/>
    <w:rsid w:val="00DB6C09"/>
    <w:rsid w:val="00DB758F"/>
    <w:rsid w:val="00DC08AE"/>
    <w:rsid w:val="00DD4EA0"/>
    <w:rsid w:val="00DD6670"/>
    <w:rsid w:val="00DD7056"/>
    <w:rsid w:val="00DE0DF6"/>
    <w:rsid w:val="00DE67E1"/>
    <w:rsid w:val="00E020AF"/>
    <w:rsid w:val="00E038D0"/>
    <w:rsid w:val="00E0471C"/>
    <w:rsid w:val="00E10383"/>
    <w:rsid w:val="00E13E2C"/>
    <w:rsid w:val="00E21CB2"/>
    <w:rsid w:val="00E3273B"/>
    <w:rsid w:val="00E33723"/>
    <w:rsid w:val="00E33AA7"/>
    <w:rsid w:val="00E34FCA"/>
    <w:rsid w:val="00E35113"/>
    <w:rsid w:val="00E41FB2"/>
    <w:rsid w:val="00E5517F"/>
    <w:rsid w:val="00E55FE1"/>
    <w:rsid w:val="00E671B1"/>
    <w:rsid w:val="00E7289C"/>
    <w:rsid w:val="00E72CFC"/>
    <w:rsid w:val="00E73F7D"/>
    <w:rsid w:val="00E82CE5"/>
    <w:rsid w:val="00E90150"/>
    <w:rsid w:val="00E934E2"/>
    <w:rsid w:val="00E94972"/>
    <w:rsid w:val="00E967D9"/>
    <w:rsid w:val="00EA07DB"/>
    <w:rsid w:val="00EA50B5"/>
    <w:rsid w:val="00EA5E1F"/>
    <w:rsid w:val="00EB516C"/>
    <w:rsid w:val="00EC04CE"/>
    <w:rsid w:val="00EC1EEA"/>
    <w:rsid w:val="00EC587B"/>
    <w:rsid w:val="00ED17FE"/>
    <w:rsid w:val="00ED6618"/>
    <w:rsid w:val="00EF1382"/>
    <w:rsid w:val="00EF489C"/>
    <w:rsid w:val="00F06F3D"/>
    <w:rsid w:val="00F12F2F"/>
    <w:rsid w:val="00F1386A"/>
    <w:rsid w:val="00F13DA4"/>
    <w:rsid w:val="00F27AEB"/>
    <w:rsid w:val="00F45312"/>
    <w:rsid w:val="00F45885"/>
    <w:rsid w:val="00F5594E"/>
    <w:rsid w:val="00F62F91"/>
    <w:rsid w:val="00F65E9D"/>
    <w:rsid w:val="00F66323"/>
    <w:rsid w:val="00F81970"/>
    <w:rsid w:val="00F82B2B"/>
    <w:rsid w:val="00F86E77"/>
    <w:rsid w:val="00F967DF"/>
    <w:rsid w:val="00FA56DB"/>
    <w:rsid w:val="00FA7934"/>
    <w:rsid w:val="00FB0E68"/>
    <w:rsid w:val="00FB2A88"/>
    <w:rsid w:val="00FC32F9"/>
    <w:rsid w:val="00FC73F6"/>
    <w:rsid w:val="00FC7D79"/>
    <w:rsid w:val="00FD7712"/>
    <w:rsid w:val="00FE0529"/>
    <w:rsid w:val="00FE20DB"/>
    <w:rsid w:val="00FE5CB3"/>
    <w:rsid w:val="00FE6C91"/>
    <w:rsid w:val="00FE75D2"/>
    <w:rsid w:val="00FF2940"/>
    <w:rsid w:val="00FF3473"/>
    <w:rsid w:val="00FF3D44"/>
    <w:rsid w:val="00FF4A5C"/>
    <w:rsid w:val="027F222E"/>
    <w:rsid w:val="041C217F"/>
    <w:rsid w:val="04AB0690"/>
    <w:rsid w:val="089A8ED1"/>
    <w:rsid w:val="09EC0B6E"/>
    <w:rsid w:val="0A710BB6"/>
    <w:rsid w:val="0ED83F32"/>
    <w:rsid w:val="113E6C86"/>
    <w:rsid w:val="13A166FF"/>
    <w:rsid w:val="1502AF40"/>
    <w:rsid w:val="17C71DF7"/>
    <w:rsid w:val="1EB3C225"/>
    <w:rsid w:val="1F13AD1C"/>
    <w:rsid w:val="268AE61C"/>
    <w:rsid w:val="2B409B5B"/>
    <w:rsid w:val="2C27E8D4"/>
    <w:rsid w:val="2E6F6AD8"/>
    <w:rsid w:val="3305ED03"/>
    <w:rsid w:val="33FBA834"/>
    <w:rsid w:val="34A1BD64"/>
    <w:rsid w:val="394868EE"/>
    <w:rsid w:val="39E23562"/>
    <w:rsid w:val="447CDA9B"/>
    <w:rsid w:val="449EB8D1"/>
    <w:rsid w:val="45927BC4"/>
    <w:rsid w:val="48CA1C86"/>
    <w:rsid w:val="48E344E3"/>
    <w:rsid w:val="4BC3E996"/>
    <w:rsid w:val="4D5FB9F7"/>
    <w:rsid w:val="4DF0AF4D"/>
    <w:rsid w:val="53278585"/>
    <w:rsid w:val="547B2A5F"/>
    <w:rsid w:val="5A7CF37F"/>
    <w:rsid w:val="5BF95BE0"/>
    <w:rsid w:val="5F576F5A"/>
    <w:rsid w:val="642AE07D"/>
    <w:rsid w:val="6633B7B9"/>
    <w:rsid w:val="68D485E4"/>
    <w:rsid w:val="70A28D65"/>
    <w:rsid w:val="713A8EEC"/>
    <w:rsid w:val="7701C302"/>
    <w:rsid w:val="7972788A"/>
    <w:rsid w:val="7BD534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8EFD1"/>
  <w15:docId w15:val="{FC08999D-B110-704F-8D6B-01F93B32C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spacing w:line="360" w:lineRule="auto"/>
        <w:ind w:left="-283" w:right="-27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7BE"/>
    <w:pPr>
      <w:spacing w:line="240" w:lineRule="auto"/>
      <w:ind w:left="0" w:right="0"/>
      <w:jc w:val="left"/>
    </w:pPr>
    <w:rPr>
      <w:lang w:val="en-DE"/>
    </w:rPr>
  </w:style>
  <w:style w:type="paragraph" w:styleId="Heading1">
    <w:name w:val="heading 1"/>
    <w:basedOn w:val="Normal"/>
    <w:next w:val="Normal"/>
    <w:link w:val="Heading1Char"/>
    <w:qFormat/>
    <w:pPr>
      <w:keepNext/>
      <w:keepLines/>
      <w:numPr>
        <w:numId w:val="2"/>
      </w:numPr>
      <w:adjustRightInd w:val="0"/>
      <w:spacing w:line="360" w:lineRule="auto"/>
      <w:ind w:right="-279"/>
      <w:jc w:val="center"/>
      <w:outlineLvl w:val="0"/>
    </w:pPr>
    <w:rPr>
      <w:b/>
      <w:color w:val="000000" w:themeColor="text1"/>
      <w:sz w:val="28"/>
      <w:szCs w:val="28"/>
    </w:rPr>
  </w:style>
  <w:style w:type="paragraph" w:styleId="Heading2">
    <w:name w:val="heading 2"/>
    <w:basedOn w:val="Normal"/>
    <w:next w:val="Normal"/>
    <w:uiPriority w:val="9"/>
    <w:unhideWhenUsed/>
    <w:qFormat/>
    <w:pPr>
      <w:keepNext/>
      <w:keepLines/>
      <w:numPr>
        <w:ilvl w:val="1"/>
        <w:numId w:val="2"/>
      </w:numPr>
      <w:adjustRightInd w:val="0"/>
      <w:spacing w:line="360" w:lineRule="auto"/>
      <w:jc w:val="both"/>
      <w:outlineLvl w:val="1"/>
    </w:pPr>
    <w:rPr>
      <w:b/>
      <w:color w:val="000000" w:themeColor="text1"/>
    </w:rPr>
  </w:style>
  <w:style w:type="paragraph" w:styleId="Heading3">
    <w:name w:val="heading 3"/>
    <w:basedOn w:val="Normal"/>
    <w:next w:val="Normal"/>
    <w:uiPriority w:val="9"/>
    <w:unhideWhenUsed/>
    <w:qFormat/>
    <w:rsid w:val="00171713"/>
    <w:pPr>
      <w:keepNext/>
      <w:keepLines/>
      <w:numPr>
        <w:ilvl w:val="2"/>
        <w:numId w:val="2"/>
      </w:numPr>
      <w:adjustRightInd w:val="0"/>
      <w:spacing w:before="280" w:after="80" w:line="360" w:lineRule="auto"/>
      <w:jc w:val="both"/>
      <w:outlineLvl w:val="2"/>
    </w:pPr>
    <w:rPr>
      <w:color w:val="000000" w:themeColor="text1"/>
    </w:rPr>
  </w:style>
  <w:style w:type="paragraph" w:styleId="Heading4">
    <w:name w:val="heading 4"/>
    <w:basedOn w:val="Normal"/>
    <w:next w:val="Normal"/>
    <w:uiPriority w:val="9"/>
    <w:unhideWhenUsed/>
    <w:qFormat/>
    <w:pPr>
      <w:keepNext/>
      <w:keepLines/>
      <w:numPr>
        <w:ilvl w:val="3"/>
        <w:numId w:val="2"/>
      </w:numPr>
      <w:adjustRightInd w:val="0"/>
      <w:spacing w:before="240" w:after="40" w:line="360" w:lineRule="auto"/>
      <w:jc w:val="both"/>
      <w:outlineLvl w:val="3"/>
    </w:pPr>
    <w:rPr>
      <w:b/>
      <w:color w:val="000000" w:themeColor="text1"/>
    </w:rPr>
  </w:style>
  <w:style w:type="paragraph" w:styleId="Heading5">
    <w:name w:val="heading 5"/>
    <w:basedOn w:val="Normal"/>
    <w:next w:val="Normal"/>
    <w:uiPriority w:val="9"/>
    <w:semiHidden/>
    <w:unhideWhenUsed/>
    <w:qFormat/>
    <w:pPr>
      <w:keepNext/>
      <w:keepLines/>
      <w:numPr>
        <w:ilvl w:val="4"/>
        <w:numId w:val="2"/>
      </w:numPr>
      <w:adjustRightInd w:val="0"/>
      <w:spacing w:before="220" w:after="40" w:line="360" w:lineRule="auto"/>
      <w:jc w:val="both"/>
      <w:outlineLvl w:val="4"/>
    </w:pPr>
    <w:rPr>
      <w:b/>
      <w:color w:val="000000" w:themeColor="text1"/>
      <w:sz w:val="22"/>
      <w:szCs w:val="22"/>
    </w:rPr>
  </w:style>
  <w:style w:type="paragraph" w:styleId="Heading6">
    <w:name w:val="heading 6"/>
    <w:basedOn w:val="Normal"/>
    <w:next w:val="Normal"/>
    <w:uiPriority w:val="9"/>
    <w:semiHidden/>
    <w:unhideWhenUsed/>
    <w:qFormat/>
    <w:pPr>
      <w:keepNext/>
      <w:keepLines/>
      <w:numPr>
        <w:ilvl w:val="5"/>
        <w:numId w:val="2"/>
      </w:numPr>
      <w:adjustRightInd w:val="0"/>
      <w:spacing w:before="200" w:after="40" w:line="360" w:lineRule="auto"/>
      <w:jc w:val="both"/>
      <w:outlineLvl w:val="5"/>
    </w:pPr>
    <w:rPr>
      <w:b/>
      <w:color w:val="000000" w:themeColor="text1"/>
      <w:sz w:val="20"/>
      <w:szCs w:val="20"/>
    </w:rPr>
  </w:style>
  <w:style w:type="paragraph" w:styleId="Heading7">
    <w:name w:val="heading 7"/>
    <w:basedOn w:val="Normal"/>
    <w:next w:val="Normal"/>
    <w:link w:val="Heading7Char"/>
    <w:uiPriority w:val="9"/>
    <w:semiHidden/>
    <w:unhideWhenUsed/>
    <w:qFormat/>
    <w:rsid w:val="00850DAD"/>
    <w:pPr>
      <w:keepNext/>
      <w:keepLines/>
      <w:numPr>
        <w:ilvl w:val="6"/>
        <w:numId w:val="2"/>
      </w:numPr>
      <w:adjustRightInd w:val="0"/>
      <w:spacing w:before="40" w:line="360" w:lineRule="auto"/>
      <w:jc w:val="both"/>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50DAD"/>
    <w:pPr>
      <w:keepNext/>
      <w:keepLines/>
      <w:numPr>
        <w:ilvl w:val="7"/>
        <w:numId w:val="2"/>
      </w:numPr>
      <w:adjustRightInd w:val="0"/>
      <w:spacing w:before="40" w:line="360" w:lineRule="auto"/>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50DAD"/>
    <w:pPr>
      <w:keepNext/>
      <w:keepLines/>
      <w:numPr>
        <w:ilvl w:val="8"/>
        <w:numId w:val="2"/>
      </w:numPr>
      <w:adjustRightInd w:val="0"/>
      <w:spacing w:before="40" w:line="360"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adjustRightInd w:val="0"/>
      <w:spacing w:before="480" w:after="120" w:line="360" w:lineRule="auto"/>
      <w:ind w:left="567" w:firstLine="567"/>
      <w:jc w:val="both"/>
    </w:pPr>
    <w:rPr>
      <w:b/>
      <w:color w:val="000000" w:themeColor="text1"/>
      <w:sz w:val="72"/>
      <w:szCs w:val="72"/>
    </w:rPr>
  </w:style>
  <w:style w:type="paragraph" w:styleId="Subtitle">
    <w:name w:val="Subtitle"/>
    <w:basedOn w:val="Normal"/>
    <w:next w:val="Normal"/>
    <w:uiPriority w:val="11"/>
    <w:qFormat/>
    <w:pPr>
      <w:keepNext/>
      <w:keepLines/>
      <w:adjustRightInd w:val="0"/>
      <w:spacing w:before="360" w:after="80" w:line="360" w:lineRule="auto"/>
      <w:ind w:left="567" w:firstLine="567"/>
      <w:jc w:val="both"/>
    </w:pPr>
    <w:rPr>
      <w:rFonts w:ascii="Georgia" w:eastAsia="Georgia" w:hAnsi="Georgia" w:cs="Georgia"/>
      <w:i/>
      <w:color w:val="666666"/>
      <w:sz w:val="48"/>
      <w:szCs w:val="48"/>
    </w:rPr>
  </w:style>
  <w:style w:type="paragraph" w:styleId="HTMLPreformatted">
    <w:name w:val="HTML Preformatted"/>
    <w:basedOn w:val="Normal"/>
    <w:link w:val="HTMLPreformattedChar"/>
    <w:uiPriority w:val="99"/>
    <w:semiHidden/>
    <w:unhideWhenUsed/>
    <w:rsid w:val="00497AEF"/>
    <w:pPr>
      <w:adjustRightInd w:val="0"/>
      <w:spacing w:line="360" w:lineRule="auto"/>
      <w:ind w:left="567" w:firstLine="567"/>
      <w:jc w:val="both"/>
    </w:pPr>
    <w:rPr>
      <w:rFonts w:ascii="Consolas" w:hAnsi="Consolas" w:cs="Consolas"/>
      <w:color w:val="000000" w:themeColor="text1"/>
      <w:sz w:val="20"/>
      <w:szCs w:val="20"/>
    </w:rPr>
  </w:style>
  <w:style w:type="character" w:customStyle="1" w:styleId="HTMLPreformattedChar">
    <w:name w:val="HTML Preformatted Char"/>
    <w:basedOn w:val="DefaultParagraphFont"/>
    <w:link w:val="HTMLPreformatted"/>
    <w:uiPriority w:val="99"/>
    <w:semiHidden/>
    <w:rsid w:val="00497AEF"/>
    <w:rPr>
      <w:rFonts w:ascii="Consolas" w:hAnsi="Consolas" w:cs="Consolas"/>
      <w:sz w:val="20"/>
      <w:szCs w:val="20"/>
    </w:rPr>
  </w:style>
  <w:style w:type="paragraph" w:styleId="TOCHeading">
    <w:name w:val="TOC Heading"/>
    <w:basedOn w:val="Heading1"/>
    <w:next w:val="Normal"/>
    <w:uiPriority w:val="39"/>
    <w:unhideWhenUsed/>
    <w:qFormat/>
    <w:rsid w:val="0049405B"/>
    <w:pPr>
      <w:spacing w:before="480" w:line="276" w:lineRule="auto"/>
      <w:ind w:right="0"/>
      <w:jc w:val="left"/>
      <w:outlineLvl w:val="9"/>
    </w:pPr>
    <w:rPr>
      <w:rFonts w:asciiTheme="majorHAnsi" w:eastAsiaTheme="majorEastAsia" w:hAnsiTheme="majorHAnsi" w:cstheme="majorBidi"/>
      <w:bCs/>
      <w:color w:val="365F91" w:themeColor="accent1" w:themeShade="BF"/>
      <w:lang w:val="en-US" w:eastAsia="en-US"/>
    </w:rPr>
  </w:style>
  <w:style w:type="paragraph" w:styleId="TOC1">
    <w:name w:val="toc 1"/>
    <w:basedOn w:val="Normal"/>
    <w:next w:val="Normal"/>
    <w:autoRedefine/>
    <w:uiPriority w:val="39"/>
    <w:unhideWhenUsed/>
    <w:rsid w:val="00EB516C"/>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49405B"/>
    <w:pPr>
      <w:spacing w:before="120"/>
      <w:ind w:left="240"/>
    </w:pPr>
    <w:rPr>
      <w:rFonts w:asciiTheme="minorHAnsi" w:hAnsiTheme="minorHAnsi"/>
      <w:i/>
      <w:iCs/>
      <w:sz w:val="20"/>
      <w:szCs w:val="20"/>
    </w:rPr>
  </w:style>
  <w:style w:type="character" w:styleId="Hyperlink">
    <w:name w:val="Hyperlink"/>
    <w:basedOn w:val="DefaultParagraphFont"/>
    <w:uiPriority w:val="99"/>
    <w:unhideWhenUsed/>
    <w:rsid w:val="0049405B"/>
    <w:rPr>
      <w:color w:val="0000FF" w:themeColor="hyperlink"/>
      <w:u w:val="single"/>
    </w:rPr>
  </w:style>
  <w:style w:type="paragraph" w:styleId="TOC3">
    <w:name w:val="toc 3"/>
    <w:basedOn w:val="Normal"/>
    <w:next w:val="Normal"/>
    <w:autoRedefine/>
    <w:uiPriority w:val="39"/>
    <w:unhideWhenUsed/>
    <w:rsid w:val="0049405B"/>
    <w:pPr>
      <w:ind w:left="480"/>
    </w:pPr>
    <w:rPr>
      <w:rFonts w:asciiTheme="minorHAnsi" w:hAnsiTheme="minorHAnsi"/>
      <w:sz w:val="20"/>
      <w:szCs w:val="20"/>
    </w:rPr>
  </w:style>
  <w:style w:type="paragraph" w:styleId="TOC4">
    <w:name w:val="toc 4"/>
    <w:basedOn w:val="Normal"/>
    <w:next w:val="Normal"/>
    <w:autoRedefine/>
    <w:uiPriority w:val="39"/>
    <w:unhideWhenUsed/>
    <w:rsid w:val="0049405B"/>
    <w:pPr>
      <w:ind w:left="720"/>
    </w:pPr>
    <w:rPr>
      <w:rFonts w:asciiTheme="minorHAnsi" w:hAnsiTheme="minorHAnsi"/>
      <w:sz w:val="20"/>
      <w:szCs w:val="20"/>
    </w:rPr>
  </w:style>
  <w:style w:type="paragraph" w:styleId="TOC5">
    <w:name w:val="toc 5"/>
    <w:basedOn w:val="Normal"/>
    <w:next w:val="Normal"/>
    <w:autoRedefine/>
    <w:uiPriority w:val="39"/>
    <w:unhideWhenUsed/>
    <w:rsid w:val="0049405B"/>
    <w:pPr>
      <w:ind w:left="960"/>
    </w:pPr>
    <w:rPr>
      <w:rFonts w:asciiTheme="minorHAnsi" w:hAnsiTheme="minorHAnsi"/>
      <w:sz w:val="20"/>
      <w:szCs w:val="20"/>
    </w:rPr>
  </w:style>
  <w:style w:type="paragraph" w:styleId="TOC6">
    <w:name w:val="toc 6"/>
    <w:basedOn w:val="Normal"/>
    <w:next w:val="Normal"/>
    <w:autoRedefine/>
    <w:uiPriority w:val="39"/>
    <w:unhideWhenUsed/>
    <w:rsid w:val="0049405B"/>
    <w:pPr>
      <w:ind w:left="1200"/>
    </w:pPr>
    <w:rPr>
      <w:rFonts w:asciiTheme="minorHAnsi" w:hAnsiTheme="minorHAnsi"/>
      <w:sz w:val="20"/>
      <w:szCs w:val="20"/>
    </w:rPr>
  </w:style>
  <w:style w:type="paragraph" w:styleId="TOC7">
    <w:name w:val="toc 7"/>
    <w:basedOn w:val="Normal"/>
    <w:next w:val="Normal"/>
    <w:autoRedefine/>
    <w:uiPriority w:val="39"/>
    <w:unhideWhenUsed/>
    <w:rsid w:val="0049405B"/>
    <w:pPr>
      <w:ind w:left="1440"/>
    </w:pPr>
    <w:rPr>
      <w:rFonts w:asciiTheme="minorHAnsi" w:hAnsiTheme="minorHAnsi"/>
      <w:sz w:val="20"/>
      <w:szCs w:val="20"/>
    </w:rPr>
  </w:style>
  <w:style w:type="paragraph" w:styleId="TOC8">
    <w:name w:val="toc 8"/>
    <w:basedOn w:val="Normal"/>
    <w:next w:val="Normal"/>
    <w:autoRedefine/>
    <w:uiPriority w:val="39"/>
    <w:unhideWhenUsed/>
    <w:rsid w:val="0049405B"/>
    <w:pPr>
      <w:ind w:left="1680"/>
    </w:pPr>
    <w:rPr>
      <w:rFonts w:asciiTheme="minorHAnsi" w:hAnsiTheme="minorHAnsi"/>
      <w:sz w:val="20"/>
      <w:szCs w:val="20"/>
    </w:rPr>
  </w:style>
  <w:style w:type="paragraph" w:styleId="TOC9">
    <w:name w:val="toc 9"/>
    <w:basedOn w:val="Normal"/>
    <w:next w:val="Normal"/>
    <w:autoRedefine/>
    <w:uiPriority w:val="39"/>
    <w:unhideWhenUsed/>
    <w:rsid w:val="0049405B"/>
    <w:pPr>
      <w:ind w:left="1920"/>
    </w:pPr>
    <w:rPr>
      <w:rFonts w:asciiTheme="minorHAnsi" w:hAnsiTheme="minorHAnsi"/>
      <w:sz w:val="20"/>
      <w:szCs w:val="20"/>
    </w:rPr>
  </w:style>
  <w:style w:type="paragraph" w:styleId="NoSpacing">
    <w:name w:val="No Spacing"/>
    <w:uiPriority w:val="1"/>
    <w:qFormat/>
    <w:rsid w:val="00BE7129"/>
    <w:pPr>
      <w:spacing w:line="240" w:lineRule="auto"/>
    </w:pPr>
  </w:style>
  <w:style w:type="character" w:styleId="UnresolvedMention">
    <w:name w:val="Unresolved Mention"/>
    <w:basedOn w:val="DefaultParagraphFont"/>
    <w:uiPriority w:val="99"/>
    <w:semiHidden/>
    <w:unhideWhenUsed/>
    <w:rsid w:val="00BE7129"/>
    <w:rPr>
      <w:color w:val="605E5C"/>
      <w:shd w:val="clear" w:color="auto" w:fill="E1DFDD"/>
    </w:rPr>
  </w:style>
  <w:style w:type="paragraph" w:styleId="Revision">
    <w:name w:val="Revision"/>
    <w:hidden/>
    <w:uiPriority w:val="99"/>
    <w:semiHidden/>
    <w:rsid w:val="004E7101"/>
    <w:pPr>
      <w:spacing w:line="240" w:lineRule="auto"/>
      <w:ind w:left="0" w:right="0"/>
      <w:jc w:val="left"/>
    </w:pPr>
  </w:style>
  <w:style w:type="character" w:styleId="CommentReference">
    <w:name w:val="annotation reference"/>
    <w:basedOn w:val="DefaultParagraphFont"/>
    <w:uiPriority w:val="99"/>
    <w:semiHidden/>
    <w:unhideWhenUsed/>
    <w:rsid w:val="004E7101"/>
    <w:rPr>
      <w:sz w:val="16"/>
      <w:szCs w:val="16"/>
    </w:rPr>
  </w:style>
  <w:style w:type="paragraph" w:styleId="CommentText">
    <w:name w:val="annotation text"/>
    <w:basedOn w:val="Normal"/>
    <w:link w:val="CommentTextChar"/>
    <w:uiPriority w:val="99"/>
    <w:unhideWhenUsed/>
    <w:rsid w:val="004E7101"/>
    <w:pPr>
      <w:adjustRightInd w:val="0"/>
      <w:spacing w:line="360" w:lineRule="auto"/>
      <w:ind w:left="567" w:firstLine="567"/>
      <w:jc w:val="both"/>
    </w:pPr>
    <w:rPr>
      <w:color w:val="000000" w:themeColor="text1"/>
      <w:sz w:val="20"/>
      <w:szCs w:val="20"/>
    </w:rPr>
  </w:style>
  <w:style w:type="character" w:customStyle="1" w:styleId="CommentTextChar">
    <w:name w:val="Comment Text Char"/>
    <w:basedOn w:val="DefaultParagraphFont"/>
    <w:link w:val="CommentText"/>
    <w:uiPriority w:val="99"/>
    <w:rsid w:val="004E7101"/>
    <w:rPr>
      <w:sz w:val="20"/>
      <w:szCs w:val="20"/>
    </w:rPr>
  </w:style>
  <w:style w:type="paragraph" w:styleId="CommentSubject">
    <w:name w:val="annotation subject"/>
    <w:basedOn w:val="CommentText"/>
    <w:next w:val="CommentText"/>
    <w:link w:val="CommentSubjectChar"/>
    <w:uiPriority w:val="99"/>
    <w:semiHidden/>
    <w:unhideWhenUsed/>
    <w:rsid w:val="004E7101"/>
    <w:rPr>
      <w:b/>
      <w:bCs/>
    </w:rPr>
  </w:style>
  <w:style w:type="character" w:customStyle="1" w:styleId="CommentSubjectChar">
    <w:name w:val="Comment Subject Char"/>
    <w:basedOn w:val="CommentTextChar"/>
    <w:link w:val="CommentSubject"/>
    <w:uiPriority w:val="99"/>
    <w:semiHidden/>
    <w:rsid w:val="004E7101"/>
    <w:rPr>
      <w:b/>
      <w:bCs/>
      <w:sz w:val="20"/>
      <w:szCs w:val="20"/>
    </w:rPr>
  </w:style>
  <w:style w:type="character" w:customStyle="1" w:styleId="Heading1Char">
    <w:name w:val="Heading 1 Char"/>
    <w:basedOn w:val="DefaultParagraphFont"/>
    <w:link w:val="Heading1"/>
    <w:uiPriority w:val="9"/>
    <w:rsid w:val="001E2610"/>
    <w:rPr>
      <w:b/>
      <w:sz w:val="28"/>
      <w:szCs w:val="28"/>
    </w:rPr>
  </w:style>
  <w:style w:type="paragraph" w:styleId="ListParagraph">
    <w:name w:val="List Paragraph"/>
    <w:basedOn w:val="Normal"/>
    <w:uiPriority w:val="34"/>
    <w:qFormat/>
    <w:rsid w:val="00AA33FF"/>
    <w:pPr>
      <w:adjustRightInd w:val="0"/>
      <w:spacing w:line="360" w:lineRule="auto"/>
      <w:ind w:left="720" w:firstLine="567"/>
      <w:contextualSpacing/>
      <w:jc w:val="both"/>
    </w:pPr>
    <w:rPr>
      <w:color w:val="000000" w:themeColor="text1"/>
    </w:rPr>
  </w:style>
  <w:style w:type="character" w:styleId="FollowedHyperlink">
    <w:name w:val="FollowedHyperlink"/>
    <w:basedOn w:val="DefaultParagraphFont"/>
    <w:uiPriority w:val="99"/>
    <w:semiHidden/>
    <w:unhideWhenUsed/>
    <w:rsid w:val="00A72A25"/>
    <w:rPr>
      <w:color w:val="800080" w:themeColor="followedHyperlink"/>
      <w:u w:val="single"/>
    </w:rPr>
  </w:style>
  <w:style w:type="paragraph" w:styleId="Header">
    <w:name w:val="header"/>
    <w:basedOn w:val="Normal"/>
    <w:link w:val="HeaderChar"/>
    <w:uiPriority w:val="99"/>
    <w:unhideWhenUsed/>
    <w:rsid w:val="00D376BC"/>
    <w:pPr>
      <w:tabs>
        <w:tab w:val="center" w:pos="4513"/>
        <w:tab w:val="right" w:pos="9026"/>
      </w:tabs>
      <w:adjustRightInd w:val="0"/>
      <w:spacing w:line="360" w:lineRule="auto"/>
      <w:ind w:left="567" w:firstLine="567"/>
      <w:jc w:val="both"/>
    </w:pPr>
    <w:rPr>
      <w:color w:val="000000" w:themeColor="text1"/>
    </w:rPr>
  </w:style>
  <w:style w:type="character" w:customStyle="1" w:styleId="HeaderChar">
    <w:name w:val="Header Char"/>
    <w:basedOn w:val="DefaultParagraphFont"/>
    <w:link w:val="Header"/>
    <w:uiPriority w:val="99"/>
    <w:rsid w:val="00D376BC"/>
  </w:style>
  <w:style w:type="paragraph" w:styleId="Footer">
    <w:name w:val="footer"/>
    <w:basedOn w:val="Normal"/>
    <w:link w:val="FooterChar"/>
    <w:uiPriority w:val="99"/>
    <w:unhideWhenUsed/>
    <w:rsid w:val="00D376BC"/>
    <w:pPr>
      <w:tabs>
        <w:tab w:val="center" w:pos="4513"/>
        <w:tab w:val="right" w:pos="9026"/>
      </w:tabs>
      <w:adjustRightInd w:val="0"/>
      <w:spacing w:line="360" w:lineRule="auto"/>
      <w:ind w:left="567" w:firstLine="567"/>
      <w:jc w:val="both"/>
    </w:pPr>
    <w:rPr>
      <w:color w:val="000000" w:themeColor="text1"/>
    </w:rPr>
  </w:style>
  <w:style w:type="character" w:customStyle="1" w:styleId="FooterChar">
    <w:name w:val="Footer Char"/>
    <w:basedOn w:val="DefaultParagraphFont"/>
    <w:link w:val="Footer"/>
    <w:uiPriority w:val="99"/>
    <w:rsid w:val="00D376BC"/>
  </w:style>
  <w:style w:type="character" w:styleId="PageNumber">
    <w:name w:val="page number"/>
    <w:basedOn w:val="DefaultParagraphFont"/>
    <w:uiPriority w:val="99"/>
    <w:semiHidden/>
    <w:unhideWhenUsed/>
    <w:rsid w:val="00FF3D44"/>
  </w:style>
  <w:style w:type="table" w:styleId="TableGrid">
    <w:name w:val="Table Grid"/>
    <w:basedOn w:val="TableNormal"/>
    <w:uiPriority w:val="39"/>
    <w:rsid w:val="00C55B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10647"/>
    <w:pPr>
      <w:adjustRightInd w:val="0"/>
      <w:spacing w:after="200" w:line="360" w:lineRule="auto"/>
      <w:ind w:left="567" w:firstLine="567"/>
      <w:jc w:val="both"/>
    </w:pPr>
    <w:rPr>
      <w:i/>
      <w:iCs/>
      <w:color w:val="000000" w:themeColor="text1"/>
      <w:sz w:val="18"/>
      <w:szCs w:val="18"/>
    </w:rPr>
  </w:style>
  <w:style w:type="paragraph" w:styleId="TableofFigures">
    <w:name w:val="table of figures"/>
    <w:basedOn w:val="Normal"/>
    <w:next w:val="Normal"/>
    <w:uiPriority w:val="99"/>
    <w:unhideWhenUsed/>
    <w:rsid w:val="00C55B13"/>
    <w:pPr>
      <w:adjustRightInd w:val="0"/>
      <w:spacing w:line="360" w:lineRule="auto"/>
      <w:ind w:left="567" w:firstLine="567"/>
      <w:jc w:val="both"/>
    </w:pPr>
    <w:rPr>
      <w:color w:val="000000" w:themeColor="text1"/>
    </w:rPr>
  </w:style>
  <w:style w:type="paragraph" w:styleId="Bibliography">
    <w:name w:val="Bibliography"/>
    <w:basedOn w:val="Normal"/>
    <w:next w:val="Normal"/>
    <w:uiPriority w:val="37"/>
    <w:unhideWhenUsed/>
    <w:rsid w:val="008A3139"/>
    <w:pPr>
      <w:tabs>
        <w:tab w:val="left" w:pos="380"/>
      </w:tabs>
      <w:adjustRightInd w:val="0"/>
      <w:spacing w:line="480" w:lineRule="auto"/>
      <w:ind w:left="720" w:hanging="720"/>
      <w:jc w:val="both"/>
    </w:pPr>
    <w:rPr>
      <w:color w:val="000000" w:themeColor="text1"/>
    </w:rPr>
  </w:style>
  <w:style w:type="character" w:customStyle="1" w:styleId="Heading7Char">
    <w:name w:val="Heading 7 Char"/>
    <w:basedOn w:val="DefaultParagraphFont"/>
    <w:link w:val="Heading7"/>
    <w:uiPriority w:val="9"/>
    <w:semiHidden/>
    <w:rsid w:val="00850DA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50D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50DAD"/>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uiPriority w:val="99"/>
    <w:unhideWhenUsed/>
    <w:rsid w:val="009537EE"/>
    <w:pPr>
      <w:adjustRightInd w:val="0"/>
      <w:spacing w:line="360" w:lineRule="auto"/>
      <w:ind w:left="240" w:hanging="240"/>
      <w:jc w:val="both"/>
    </w:pPr>
    <w:rPr>
      <w:rFonts w:asciiTheme="minorHAnsi" w:hAnsiTheme="minorHAnsi"/>
      <w:color w:val="000000" w:themeColor="text1"/>
      <w:sz w:val="18"/>
      <w:szCs w:val="18"/>
    </w:rPr>
  </w:style>
  <w:style w:type="paragraph" w:styleId="Index2">
    <w:name w:val="index 2"/>
    <w:basedOn w:val="Normal"/>
    <w:next w:val="Normal"/>
    <w:autoRedefine/>
    <w:uiPriority w:val="99"/>
    <w:unhideWhenUsed/>
    <w:rsid w:val="009537EE"/>
    <w:pPr>
      <w:adjustRightInd w:val="0"/>
      <w:spacing w:line="360" w:lineRule="auto"/>
      <w:ind w:left="480" w:hanging="240"/>
      <w:jc w:val="both"/>
    </w:pPr>
    <w:rPr>
      <w:rFonts w:asciiTheme="minorHAnsi" w:hAnsiTheme="minorHAnsi"/>
      <w:color w:val="000000" w:themeColor="text1"/>
      <w:sz w:val="18"/>
      <w:szCs w:val="18"/>
    </w:rPr>
  </w:style>
  <w:style w:type="paragraph" w:styleId="Index3">
    <w:name w:val="index 3"/>
    <w:basedOn w:val="Normal"/>
    <w:next w:val="Normal"/>
    <w:autoRedefine/>
    <w:uiPriority w:val="99"/>
    <w:unhideWhenUsed/>
    <w:rsid w:val="009537EE"/>
    <w:pPr>
      <w:adjustRightInd w:val="0"/>
      <w:spacing w:line="360" w:lineRule="auto"/>
      <w:ind w:left="720" w:hanging="240"/>
      <w:jc w:val="both"/>
    </w:pPr>
    <w:rPr>
      <w:rFonts w:asciiTheme="minorHAnsi" w:hAnsiTheme="minorHAnsi"/>
      <w:color w:val="000000" w:themeColor="text1"/>
      <w:sz w:val="18"/>
      <w:szCs w:val="18"/>
    </w:rPr>
  </w:style>
  <w:style w:type="paragraph" w:styleId="Index4">
    <w:name w:val="index 4"/>
    <w:basedOn w:val="Normal"/>
    <w:next w:val="Normal"/>
    <w:autoRedefine/>
    <w:uiPriority w:val="99"/>
    <w:unhideWhenUsed/>
    <w:rsid w:val="009537EE"/>
    <w:pPr>
      <w:adjustRightInd w:val="0"/>
      <w:spacing w:line="360" w:lineRule="auto"/>
      <w:ind w:left="960" w:hanging="240"/>
      <w:jc w:val="both"/>
    </w:pPr>
    <w:rPr>
      <w:rFonts w:asciiTheme="minorHAnsi" w:hAnsiTheme="minorHAnsi"/>
      <w:color w:val="000000" w:themeColor="text1"/>
      <w:sz w:val="18"/>
      <w:szCs w:val="18"/>
    </w:rPr>
  </w:style>
  <w:style w:type="paragraph" w:styleId="Index5">
    <w:name w:val="index 5"/>
    <w:basedOn w:val="Normal"/>
    <w:next w:val="Normal"/>
    <w:autoRedefine/>
    <w:uiPriority w:val="99"/>
    <w:unhideWhenUsed/>
    <w:rsid w:val="009537EE"/>
    <w:pPr>
      <w:adjustRightInd w:val="0"/>
      <w:spacing w:line="360" w:lineRule="auto"/>
      <w:ind w:left="1200" w:hanging="240"/>
      <w:jc w:val="both"/>
    </w:pPr>
    <w:rPr>
      <w:rFonts w:asciiTheme="minorHAnsi" w:hAnsiTheme="minorHAnsi"/>
      <w:color w:val="000000" w:themeColor="text1"/>
      <w:sz w:val="18"/>
      <w:szCs w:val="18"/>
    </w:rPr>
  </w:style>
  <w:style w:type="paragraph" w:styleId="Index6">
    <w:name w:val="index 6"/>
    <w:basedOn w:val="Normal"/>
    <w:next w:val="Normal"/>
    <w:autoRedefine/>
    <w:uiPriority w:val="99"/>
    <w:unhideWhenUsed/>
    <w:rsid w:val="009537EE"/>
    <w:pPr>
      <w:adjustRightInd w:val="0"/>
      <w:spacing w:line="360" w:lineRule="auto"/>
      <w:ind w:left="1440" w:hanging="240"/>
      <w:jc w:val="both"/>
    </w:pPr>
    <w:rPr>
      <w:rFonts w:asciiTheme="minorHAnsi" w:hAnsiTheme="minorHAnsi"/>
      <w:color w:val="000000" w:themeColor="text1"/>
      <w:sz w:val="18"/>
      <w:szCs w:val="18"/>
    </w:rPr>
  </w:style>
  <w:style w:type="paragraph" w:styleId="Index7">
    <w:name w:val="index 7"/>
    <w:basedOn w:val="Normal"/>
    <w:next w:val="Normal"/>
    <w:autoRedefine/>
    <w:uiPriority w:val="99"/>
    <w:unhideWhenUsed/>
    <w:rsid w:val="009537EE"/>
    <w:pPr>
      <w:adjustRightInd w:val="0"/>
      <w:spacing w:line="360" w:lineRule="auto"/>
      <w:ind w:left="1680" w:hanging="240"/>
      <w:jc w:val="both"/>
    </w:pPr>
    <w:rPr>
      <w:rFonts w:asciiTheme="minorHAnsi" w:hAnsiTheme="minorHAnsi"/>
      <w:color w:val="000000" w:themeColor="text1"/>
      <w:sz w:val="18"/>
      <w:szCs w:val="18"/>
    </w:rPr>
  </w:style>
  <w:style w:type="paragraph" w:styleId="Index8">
    <w:name w:val="index 8"/>
    <w:basedOn w:val="Normal"/>
    <w:next w:val="Normal"/>
    <w:autoRedefine/>
    <w:uiPriority w:val="99"/>
    <w:unhideWhenUsed/>
    <w:rsid w:val="009537EE"/>
    <w:pPr>
      <w:adjustRightInd w:val="0"/>
      <w:spacing w:line="360" w:lineRule="auto"/>
      <w:ind w:left="1920" w:hanging="240"/>
      <w:jc w:val="both"/>
    </w:pPr>
    <w:rPr>
      <w:rFonts w:asciiTheme="minorHAnsi" w:hAnsiTheme="minorHAnsi"/>
      <w:color w:val="000000" w:themeColor="text1"/>
      <w:sz w:val="18"/>
      <w:szCs w:val="18"/>
    </w:rPr>
  </w:style>
  <w:style w:type="paragraph" w:styleId="Index9">
    <w:name w:val="index 9"/>
    <w:basedOn w:val="Normal"/>
    <w:next w:val="Normal"/>
    <w:autoRedefine/>
    <w:uiPriority w:val="99"/>
    <w:unhideWhenUsed/>
    <w:rsid w:val="009537EE"/>
    <w:pPr>
      <w:adjustRightInd w:val="0"/>
      <w:spacing w:line="360" w:lineRule="auto"/>
      <w:ind w:left="2160" w:hanging="240"/>
      <w:jc w:val="both"/>
    </w:pPr>
    <w:rPr>
      <w:rFonts w:asciiTheme="minorHAnsi" w:hAnsiTheme="minorHAnsi"/>
      <w:color w:val="000000" w:themeColor="text1"/>
      <w:sz w:val="18"/>
      <w:szCs w:val="18"/>
    </w:rPr>
  </w:style>
  <w:style w:type="paragraph" w:styleId="IndexHeading">
    <w:name w:val="index heading"/>
    <w:basedOn w:val="Normal"/>
    <w:next w:val="Index1"/>
    <w:uiPriority w:val="99"/>
    <w:unhideWhenUsed/>
    <w:rsid w:val="009537EE"/>
    <w:pPr>
      <w:adjustRightInd w:val="0"/>
      <w:spacing w:before="240" w:after="120" w:line="360" w:lineRule="auto"/>
      <w:ind w:left="567" w:firstLine="567"/>
      <w:jc w:val="center"/>
    </w:pPr>
    <w:rPr>
      <w:rFonts w:asciiTheme="minorHAnsi" w:hAnsiTheme="minorHAnsi"/>
      <w:b/>
      <w:bCs/>
      <w:color w:val="000000" w:themeColor="text1"/>
      <w:sz w:val="26"/>
      <w:szCs w:val="26"/>
    </w:rPr>
  </w:style>
  <w:style w:type="paragraph" w:styleId="NormalWeb">
    <w:name w:val="Normal (Web)"/>
    <w:basedOn w:val="Normal"/>
    <w:uiPriority w:val="99"/>
    <w:unhideWhenUsed/>
    <w:rsid w:val="00543D1F"/>
    <w:pPr>
      <w:adjustRightInd w:val="0"/>
      <w:spacing w:before="100" w:beforeAutospacing="1" w:after="100" w:afterAutospacing="1" w:line="360" w:lineRule="auto"/>
      <w:ind w:left="567" w:firstLine="567"/>
      <w:jc w:val="both"/>
    </w:pPr>
    <w:rPr>
      <w:color w:val="000000" w:themeColor="text1"/>
    </w:rPr>
  </w:style>
  <w:style w:type="character" w:styleId="Strong">
    <w:name w:val="Strong"/>
    <w:basedOn w:val="DefaultParagraphFont"/>
    <w:uiPriority w:val="22"/>
    <w:qFormat/>
    <w:rsid w:val="00543D1F"/>
    <w:rPr>
      <w:b/>
      <w:bCs/>
    </w:rPr>
  </w:style>
  <w:style w:type="character" w:customStyle="1" w:styleId="apple-converted-space">
    <w:name w:val="apple-converted-space"/>
    <w:basedOn w:val="DefaultParagraphFont"/>
    <w:rsid w:val="00543D1F"/>
  </w:style>
  <w:style w:type="character" w:styleId="Emphasis">
    <w:name w:val="Emphasis"/>
    <w:basedOn w:val="DefaultParagraphFont"/>
    <w:uiPriority w:val="20"/>
    <w:qFormat/>
    <w:rsid w:val="00AF3007"/>
    <w:rPr>
      <w:i/>
      <w:iCs/>
    </w:rPr>
  </w:style>
  <w:style w:type="character" w:styleId="SubtleEmphasis">
    <w:name w:val="Subtle Emphasis"/>
    <w:basedOn w:val="DefaultParagraphFont"/>
    <w:uiPriority w:val="19"/>
    <w:qFormat/>
    <w:rsid w:val="00110647"/>
    <w:rPr>
      <w:i/>
      <w:iCs/>
      <w:color w:val="404040" w:themeColor="text1" w:themeTint="BF"/>
    </w:rPr>
  </w:style>
  <w:style w:type="character" w:customStyle="1" w:styleId="muitypography-root">
    <w:name w:val="muitypography-root"/>
    <w:basedOn w:val="DefaultParagraphFont"/>
    <w:rsid w:val="00756CFB"/>
  </w:style>
  <w:style w:type="character" w:customStyle="1" w:styleId="srccitationsxs4o6">
    <w:name w:val="src_citations__xs4o6"/>
    <w:basedOn w:val="DefaultParagraphFont"/>
    <w:rsid w:val="00756CFB"/>
  </w:style>
  <w:style w:type="character" w:customStyle="1" w:styleId="s1">
    <w:name w:val="s1"/>
    <w:basedOn w:val="DefaultParagraphFont"/>
    <w:rsid w:val="00693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248936">
      <w:bodyDiv w:val="1"/>
      <w:marLeft w:val="0"/>
      <w:marRight w:val="0"/>
      <w:marTop w:val="0"/>
      <w:marBottom w:val="0"/>
      <w:divBdr>
        <w:top w:val="none" w:sz="0" w:space="0" w:color="auto"/>
        <w:left w:val="none" w:sz="0" w:space="0" w:color="auto"/>
        <w:bottom w:val="none" w:sz="0" w:space="0" w:color="auto"/>
        <w:right w:val="none" w:sz="0" w:space="0" w:color="auto"/>
      </w:divBdr>
    </w:div>
    <w:div w:id="689188307">
      <w:bodyDiv w:val="1"/>
      <w:marLeft w:val="0"/>
      <w:marRight w:val="0"/>
      <w:marTop w:val="0"/>
      <w:marBottom w:val="0"/>
      <w:divBdr>
        <w:top w:val="none" w:sz="0" w:space="0" w:color="auto"/>
        <w:left w:val="none" w:sz="0" w:space="0" w:color="auto"/>
        <w:bottom w:val="none" w:sz="0" w:space="0" w:color="auto"/>
        <w:right w:val="none" w:sz="0" w:space="0" w:color="auto"/>
      </w:divBdr>
    </w:div>
    <w:div w:id="728039776">
      <w:bodyDiv w:val="1"/>
      <w:marLeft w:val="0"/>
      <w:marRight w:val="0"/>
      <w:marTop w:val="0"/>
      <w:marBottom w:val="0"/>
      <w:divBdr>
        <w:top w:val="none" w:sz="0" w:space="0" w:color="auto"/>
        <w:left w:val="none" w:sz="0" w:space="0" w:color="auto"/>
        <w:bottom w:val="none" w:sz="0" w:space="0" w:color="auto"/>
        <w:right w:val="none" w:sz="0" w:space="0" w:color="auto"/>
      </w:divBdr>
    </w:div>
    <w:div w:id="1548641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Excel_Worksheet.xlsx"/><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package" Target="embeddings/Microsoft_Excel_Worksheet4.xlsx"/><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Excel_Worksheet2.xlsx"/><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package" Target="embeddings/Microsoft_Excel_Worksheet3.xlsx"/><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596080-4B17-4543-8F1F-C95637A2A21F}">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B0C52-39F8-584F-B402-65E918E44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1522</TotalTime>
  <Pages>53</Pages>
  <Words>109972</Words>
  <Characters>626844</Characters>
  <Application>Microsoft Office Word</Application>
  <DocSecurity>0</DocSecurity>
  <Lines>5223</Lines>
  <Paragraphs>1470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samer</dc:creator>
  <cp:keywords/>
  <dc:description/>
  <cp:lastModifiedBy>Kenny Kruber</cp:lastModifiedBy>
  <cp:revision>103</cp:revision>
  <dcterms:created xsi:type="dcterms:W3CDTF">2025-10-22T07:59:00Z</dcterms:created>
  <dcterms:modified xsi:type="dcterms:W3CDTF">2025-11-04T19:03:00Z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afa09bca778863a61ba986299aa8ad2699f640db78f3f6b076ab02fc9da34e7a</vt:lpwstr>
  </property>
  <property fmtid="{D5CDD505-2E9C-101B-9397-08002B2CF9AE}" pid="3" name="ZOTERO_PREF_1">
    <vt:lpwstr>&lt;data data-version="3" zotero-version="7.0.29"&gt;&lt;session id="1SzkH796"/&gt;&lt;style id="http://www.zotero.org/styles/apa" locale="en-US" hasBibliography="1" bibliographyStyleHasBeenSet="1"/&gt;&lt;prefs&gt;&lt;pref name="fieldType" value="Field"/&gt;&lt;pref name="automaticJourn</vt:lpwstr>
  </property>
  <property fmtid="{D5CDD505-2E9C-101B-9397-08002B2CF9AE}" pid="4" name="ZOTERO_PREF_2">
    <vt:lpwstr>alAbbreviations" value="true"/&gt;&lt;pref name="dontAskDelayCitationUpdates" value="true"/&gt;&lt;/prefs&gt;&lt;/data&gt;</vt:lpwstr>
  </property>
  <property fmtid="{D5CDD505-2E9C-101B-9397-08002B2CF9AE}" pid="5" name="grammarly_documentId">
    <vt:lpwstr>documentId_6785</vt:lpwstr>
  </property>
  <property fmtid="{D5CDD505-2E9C-101B-9397-08002B2CF9AE}" pid="6" name="grammarly_documentContext">
    <vt:lpwstr>{"goals":["describe","inform"],"domain":"academic","emotions":["neutral"],"dialect":"american","style":"formal"}</vt:lpwstr>
  </property>
</Properties>
</file>